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DF" w:rsidRPr="007453DF" w:rsidRDefault="007453DF" w:rsidP="00332C47">
      <w:pPr>
        <w:spacing w:after="0" w:line="360" w:lineRule="auto"/>
        <w:contextualSpacing/>
        <w:jc w:val="right"/>
        <w:rPr>
          <w:rFonts w:eastAsia="Calibri" w:cstheme="minorHAnsi"/>
          <w:b/>
          <w:bCs/>
          <w:color w:val="000000" w:themeColor="text1"/>
          <w:sz w:val="20"/>
        </w:rPr>
      </w:pPr>
      <w:r w:rsidRPr="007453DF">
        <w:rPr>
          <w:rFonts w:eastAsia="Calibri" w:cstheme="minorHAnsi"/>
          <w:b/>
          <w:bCs/>
          <w:color w:val="000000" w:themeColor="text1"/>
          <w:sz w:val="20"/>
        </w:rPr>
        <w:t>Załącznik nr 1</w:t>
      </w:r>
    </w:p>
    <w:p w:rsidR="007453DF" w:rsidRPr="00D366DE" w:rsidRDefault="007453DF" w:rsidP="007453DF">
      <w:pPr>
        <w:spacing w:after="0" w:line="360" w:lineRule="auto"/>
        <w:contextualSpacing/>
        <w:jc w:val="center"/>
        <w:rPr>
          <w:rFonts w:eastAsia="Calibri" w:cstheme="minorHAnsi"/>
          <w:b/>
          <w:bCs/>
          <w:color w:val="000000" w:themeColor="text1"/>
        </w:rPr>
      </w:pPr>
    </w:p>
    <w:p w:rsidR="007453DF" w:rsidRPr="00D366DE" w:rsidRDefault="007453DF" w:rsidP="007453DF">
      <w:pPr>
        <w:spacing w:after="0" w:line="360" w:lineRule="auto"/>
        <w:contextualSpacing/>
        <w:jc w:val="center"/>
        <w:rPr>
          <w:rFonts w:eastAsia="Calibri" w:cstheme="minorHAnsi"/>
          <w:b/>
          <w:bCs/>
          <w:color w:val="000000" w:themeColor="text1"/>
        </w:rPr>
      </w:pPr>
      <w:r w:rsidRPr="00D366DE">
        <w:rPr>
          <w:rFonts w:eastAsia="Calibri" w:cstheme="minorHAnsi"/>
          <w:b/>
          <w:bCs/>
          <w:color w:val="000000" w:themeColor="text1"/>
        </w:rPr>
        <w:t>Kosztorys zadania Narodowej Strategii Onkologicznej</w:t>
      </w:r>
    </w:p>
    <w:p w:rsidR="007453DF" w:rsidRPr="00D366DE" w:rsidRDefault="007453DF" w:rsidP="007453DF">
      <w:pPr>
        <w:jc w:val="center"/>
        <w:rPr>
          <w:rFonts w:eastAsia="Calibri" w:cstheme="minorHAnsi"/>
          <w:b/>
          <w:bCs/>
          <w:color w:val="000000" w:themeColor="text1"/>
        </w:rPr>
      </w:pPr>
      <w:r w:rsidRPr="00D366DE">
        <w:rPr>
          <w:rFonts w:eastAsia="Calibri" w:cstheme="minorHAnsi"/>
          <w:b/>
          <w:bCs/>
          <w:color w:val="000000" w:themeColor="text1"/>
        </w:rPr>
        <w:t xml:space="preserve">pn. „Prowadzenie Krajowego </w:t>
      </w:r>
      <w:r w:rsidR="00F206F6">
        <w:rPr>
          <w:rFonts w:eastAsia="Calibri" w:cstheme="minorHAnsi"/>
          <w:b/>
          <w:bCs/>
          <w:color w:val="000000" w:themeColor="text1"/>
        </w:rPr>
        <w:t>Rejestru Nowotworów” na rok 2025</w:t>
      </w:r>
    </w:p>
    <w:p w:rsidR="007453DF" w:rsidRDefault="00F206F6" w:rsidP="007453DF">
      <w:pPr>
        <w:jc w:val="center"/>
        <w:rPr>
          <w:rFonts w:eastAsia="Times New Roman" w:cstheme="minorHAnsi"/>
          <w:color w:val="000000"/>
          <w:sz w:val="16"/>
          <w:szCs w:val="16"/>
          <w:lang w:eastAsia="pl-PL"/>
        </w:rPr>
      </w:pPr>
      <w:r>
        <w:rPr>
          <w:rFonts w:eastAsia="Times New Roman" w:cstheme="minorHAnsi"/>
          <w:color w:val="000000"/>
          <w:sz w:val="16"/>
          <w:szCs w:val="16"/>
          <w:lang w:eastAsia="pl-PL"/>
        </w:rPr>
        <w:t>ROK 2025</w:t>
      </w:r>
      <w:r w:rsidR="007453DF">
        <w:rPr>
          <w:rFonts w:eastAsia="Times New Roman" w:cstheme="minorHAnsi"/>
          <w:color w:val="000000"/>
          <w:sz w:val="16"/>
          <w:szCs w:val="16"/>
          <w:lang w:eastAsia="pl-PL"/>
        </w:rPr>
        <w:t xml:space="preserve"> </w:t>
      </w:r>
      <w:r w:rsidR="007453DF" w:rsidRPr="00BF15E1">
        <w:rPr>
          <w:rFonts w:eastAsia="Times New Roman" w:cstheme="minorHAnsi"/>
          <w:color w:val="000000"/>
          <w:sz w:val="16"/>
          <w:szCs w:val="16"/>
          <w:lang w:eastAsia="pl-PL"/>
        </w:rPr>
        <w:t>Umowa dotacji na prowadzenie Krajowego Rejestru nowotworów</w:t>
      </w:r>
      <w:r w:rsidR="007453DF" w:rsidRPr="00BF15E1">
        <w:rPr>
          <w:rFonts w:eastAsia="Times New Roman" w:cstheme="minorHAnsi"/>
          <w:color w:val="000000"/>
          <w:sz w:val="16"/>
          <w:szCs w:val="16"/>
          <w:lang w:eastAsia="pl-PL"/>
        </w:rPr>
        <w:br/>
        <w:t>Limity kosztowe dla WBRN</w:t>
      </w:r>
    </w:p>
    <w:p w:rsidR="007453DF" w:rsidRDefault="007453DF" w:rsidP="007453DF">
      <w:pPr>
        <w:jc w:val="center"/>
        <w:rPr>
          <w:rFonts w:ascii="Lato" w:eastAsia="Calibri" w:hAnsi="Lato" w:cs="Arial"/>
          <w:b/>
          <w:bCs/>
          <w:sz w:val="20"/>
          <w:szCs w:val="20"/>
        </w:rPr>
      </w:pPr>
    </w:p>
    <w:tbl>
      <w:tblPr>
        <w:tblStyle w:val="Tabela-Siatka"/>
        <w:tblW w:w="0" w:type="auto"/>
        <w:tblLook w:val="04A0" w:firstRow="1" w:lastRow="0" w:firstColumn="1" w:lastColumn="0" w:noHBand="0" w:noVBand="1"/>
      </w:tblPr>
      <w:tblGrid>
        <w:gridCol w:w="2547"/>
        <w:gridCol w:w="3495"/>
        <w:gridCol w:w="3021"/>
      </w:tblGrid>
      <w:tr w:rsidR="007453DF" w:rsidTr="00251642">
        <w:tc>
          <w:tcPr>
            <w:tcW w:w="2547"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WBRN</w:t>
            </w:r>
          </w:p>
        </w:tc>
        <w:tc>
          <w:tcPr>
            <w:tcW w:w="3495"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Zakres zadań</w:t>
            </w:r>
          </w:p>
        </w:tc>
        <w:tc>
          <w:tcPr>
            <w:tcW w:w="3021"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Koszt (zł)</w:t>
            </w:r>
          </w:p>
        </w:tc>
      </w:tr>
      <w:tr w:rsidR="007453DF" w:rsidTr="00251642">
        <w:tc>
          <w:tcPr>
            <w:tcW w:w="2547" w:type="dxa"/>
            <w:vMerge w:val="restart"/>
          </w:tcPr>
          <w:p w:rsidR="007453DF" w:rsidRDefault="007453DF" w:rsidP="00251642">
            <w:pPr>
              <w:rPr>
                <w:rFonts w:eastAsia="Calibri" w:cstheme="minorHAnsi"/>
                <w:b/>
                <w:bCs/>
                <w:sz w:val="20"/>
              </w:rPr>
            </w:pPr>
            <w:r>
              <w:rPr>
                <w:rFonts w:eastAsia="Calibri" w:cstheme="minorHAnsi"/>
                <w:b/>
                <w:bCs/>
                <w:sz w:val="20"/>
              </w:rPr>
              <w:t xml:space="preserve">Narodowy Instytut Onkologii im. Marii Skłodowskiej-Curie – Państwowy Instytut Badawczy </w:t>
            </w:r>
          </w:p>
          <w:p w:rsidR="007453DF" w:rsidRPr="00A5332C" w:rsidRDefault="007453DF" w:rsidP="00251642">
            <w:pPr>
              <w:rPr>
                <w:rFonts w:eastAsia="Calibri" w:cstheme="minorHAnsi"/>
                <w:b/>
                <w:bCs/>
                <w:sz w:val="20"/>
              </w:rPr>
            </w:pPr>
            <w:r>
              <w:rPr>
                <w:rFonts w:eastAsia="Calibri" w:cstheme="minorHAnsi"/>
                <w:b/>
                <w:bCs/>
                <w:sz w:val="20"/>
              </w:rPr>
              <w:t xml:space="preserve">Wojewódzkie Biuro Rejestracji Nowotworów </w:t>
            </w:r>
            <w:r>
              <w:rPr>
                <w:rFonts w:eastAsia="Calibri" w:cstheme="minorHAnsi"/>
                <w:b/>
                <w:bCs/>
                <w:sz w:val="20"/>
              </w:rPr>
              <w:br/>
              <w:t>w Krakowie</w:t>
            </w:r>
          </w:p>
        </w:tc>
        <w:tc>
          <w:tcPr>
            <w:tcW w:w="3495" w:type="dxa"/>
          </w:tcPr>
          <w:p w:rsidR="007453DF" w:rsidRPr="00A5332C" w:rsidRDefault="007453DF" w:rsidP="00251642">
            <w:pPr>
              <w:rPr>
                <w:rFonts w:eastAsia="Calibri" w:cstheme="minorHAnsi"/>
                <w:b/>
                <w:bCs/>
                <w:sz w:val="20"/>
              </w:rPr>
            </w:pPr>
            <w:r w:rsidRPr="00A5332C">
              <w:rPr>
                <w:rFonts w:cstheme="minorHAnsi"/>
                <w:sz w:val="20"/>
              </w:rPr>
              <w:t>1. Koszty działalności biura rejestracji</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28 500,00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2. Koszty wynagrodzeń (maks. 9000 zł na jeden równoważnik etatu)</w:t>
            </w:r>
          </w:p>
        </w:tc>
        <w:tc>
          <w:tcPr>
            <w:tcW w:w="3021" w:type="dxa"/>
          </w:tcPr>
          <w:p w:rsidR="007453DF" w:rsidRPr="00A5332C" w:rsidRDefault="007453DF" w:rsidP="00251642">
            <w:pPr>
              <w:jc w:val="right"/>
              <w:rPr>
                <w:rFonts w:eastAsia="Calibri" w:cstheme="minorHAnsi"/>
                <w:b/>
                <w:bCs/>
                <w:sz w:val="20"/>
              </w:rPr>
            </w:pPr>
            <w:r>
              <w:rPr>
                <w:rFonts w:cstheme="minorHAnsi"/>
                <w:sz w:val="20"/>
              </w:rPr>
              <w:t>432</w:t>
            </w:r>
            <w:r w:rsidRPr="00A5332C">
              <w:rPr>
                <w:rFonts w:cstheme="minorHAnsi"/>
                <w:sz w:val="20"/>
              </w:rPr>
              <w:t xml:space="preserve">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3. Zakup drobnego sprzętu komputerowego</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6 000,00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4. Ryczałtowe koszty obsługi administracyjnej</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30 000,00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b/>
                <w:sz w:val="20"/>
              </w:rPr>
              <w:t>Razem:</w:t>
            </w:r>
          </w:p>
        </w:tc>
        <w:tc>
          <w:tcPr>
            <w:tcW w:w="3021" w:type="dxa"/>
          </w:tcPr>
          <w:p w:rsidR="007453DF" w:rsidRPr="00A5332C" w:rsidRDefault="007453DF" w:rsidP="00251642">
            <w:pPr>
              <w:jc w:val="right"/>
              <w:rPr>
                <w:rFonts w:eastAsia="Calibri" w:cstheme="minorHAnsi"/>
                <w:b/>
                <w:bCs/>
                <w:sz w:val="20"/>
              </w:rPr>
            </w:pPr>
            <w:r>
              <w:rPr>
                <w:rFonts w:cstheme="minorHAnsi"/>
                <w:b/>
                <w:sz w:val="20"/>
              </w:rPr>
              <w:t>496</w:t>
            </w:r>
            <w:r w:rsidRPr="00A5332C">
              <w:rPr>
                <w:rFonts w:cstheme="minorHAnsi"/>
                <w:b/>
                <w:sz w:val="20"/>
              </w:rPr>
              <w:t xml:space="preserve"> 500,00</w:t>
            </w:r>
          </w:p>
        </w:tc>
      </w:tr>
    </w:tbl>
    <w:p w:rsidR="007453DF" w:rsidRPr="00000806" w:rsidRDefault="007453DF" w:rsidP="007453DF">
      <w:pPr>
        <w:rPr>
          <w:rFonts w:ascii="Lato" w:eastAsia="Calibri" w:hAnsi="Lato" w:cs="Arial"/>
          <w:b/>
          <w:bCs/>
          <w:sz w:val="20"/>
          <w:szCs w:val="20"/>
        </w:rPr>
      </w:pPr>
    </w:p>
    <w:tbl>
      <w:tblPr>
        <w:tblStyle w:val="Tabela-Siatka"/>
        <w:tblW w:w="0" w:type="auto"/>
        <w:tblLook w:val="04A0" w:firstRow="1" w:lastRow="0" w:firstColumn="1" w:lastColumn="0" w:noHBand="0" w:noVBand="1"/>
      </w:tblPr>
      <w:tblGrid>
        <w:gridCol w:w="2547"/>
        <w:gridCol w:w="3495"/>
        <w:gridCol w:w="3021"/>
      </w:tblGrid>
      <w:tr w:rsidR="007453DF" w:rsidTr="00251642">
        <w:tc>
          <w:tcPr>
            <w:tcW w:w="2547"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WBRN</w:t>
            </w:r>
          </w:p>
        </w:tc>
        <w:tc>
          <w:tcPr>
            <w:tcW w:w="3495"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Zakres zadań</w:t>
            </w:r>
          </w:p>
        </w:tc>
        <w:tc>
          <w:tcPr>
            <w:tcW w:w="3021"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Koszt (zł)</w:t>
            </w:r>
          </w:p>
        </w:tc>
      </w:tr>
      <w:tr w:rsidR="007453DF" w:rsidTr="00251642">
        <w:tc>
          <w:tcPr>
            <w:tcW w:w="2547" w:type="dxa"/>
            <w:vMerge w:val="restart"/>
          </w:tcPr>
          <w:p w:rsidR="007453DF" w:rsidRDefault="007453DF" w:rsidP="007453DF">
            <w:pPr>
              <w:rPr>
                <w:rFonts w:eastAsia="Calibri" w:cstheme="minorHAnsi"/>
                <w:b/>
                <w:bCs/>
                <w:sz w:val="20"/>
              </w:rPr>
            </w:pPr>
            <w:r>
              <w:rPr>
                <w:rFonts w:eastAsia="Calibri" w:cstheme="minorHAnsi"/>
                <w:b/>
                <w:bCs/>
                <w:sz w:val="20"/>
              </w:rPr>
              <w:t xml:space="preserve">Narodowy Instytut Onkologii im. Marii Skłodowskiej-Curie – Państwowy Instytut Badawczy </w:t>
            </w:r>
          </w:p>
          <w:p w:rsidR="007453DF" w:rsidRPr="00A5332C" w:rsidRDefault="007453DF" w:rsidP="007453DF">
            <w:pPr>
              <w:rPr>
                <w:rFonts w:eastAsia="Calibri" w:cstheme="minorHAnsi"/>
                <w:b/>
                <w:bCs/>
                <w:sz w:val="20"/>
              </w:rPr>
            </w:pPr>
            <w:r>
              <w:rPr>
                <w:rFonts w:eastAsia="Calibri" w:cstheme="minorHAnsi"/>
                <w:b/>
                <w:bCs/>
                <w:sz w:val="20"/>
              </w:rPr>
              <w:t xml:space="preserve">Wojewódzkie Biuro Rejestracji Nowotworów </w:t>
            </w:r>
            <w:r>
              <w:rPr>
                <w:rFonts w:eastAsia="Calibri" w:cstheme="minorHAnsi"/>
                <w:b/>
                <w:bCs/>
                <w:sz w:val="20"/>
              </w:rPr>
              <w:br/>
              <w:t>w Warszawie</w:t>
            </w:r>
          </w:p>
        </w:tc>
        <w:tc>
          <w:tcPr>
            <w:tcW w:w="3495" w:type="dxa"/>
          </w:tcPr>
          <w:p w:rsidR="007453DF" w:rsidRPr="00A5332C" w:rsidRDefault="007453DF" w:rsidP="00251642">
            <w:pPr>
              <w:rPr>
                <w:rFonts w:eastAsia="Calibri" w:cstheme="minorHAnsi"/>
                <w:b/>
                <w:bCs/>
                <w:sz w:val="20"/>
              </w:rPr>
            </w:pPr>
            <w:r w:rsidRPr="00A5332C">
              <w:rPr>
                <w:rFonts w:cstheme="minorHAnsi"/>
                <w:sz w:val="20"/>
              </w:rPr>
              <w:t>1. Koszty działalności biura rejestracji</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28 500,00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2. Koszty wynagrodzeń (maks. 9000 zł na jeden równoważnik etatu)</w:t>
            </w:r>
          </w:p>
        </w:tc>
        <w:tc>
          <w:tcPr>
            <w:tcW w:w="3021" w:type="dxa"/>
          </w:tcPr>
          <w:p w:rsidR="007453DF" w:rsidRPr="00A5332C" w:rsidRDefault="007453DF" w:rsidP="00251642">
            <w:pPr>
              <w:jc w:val="right"/>
              <w:rPr>
                <w:rFonts w:eastAsia="Calibri" w:cstheme="minorHAnsi"/>
                <w:b/>
                <w:bCs/>
                <w:sz w:val="20"/>
              </w:rPr>
            </w:pPr>
            <w:r>
              <w:rPr>
                <w:rFonts w:cstheme="minorHAnsi"/>
                <w:sz w:val="20"/>
              </w:rPr>
              <w:t>648</w:t>
            </w:r>
            <w:r w:rsidRPr="00A5332C">
              <w:rPr>
                <w:rFonts w:cstheme="minorHAnsi"/>
                <w:sz w:val="20"/>
              </w:rPr>
              <w:t xml:space="preserve">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3. Zakup drobnego sprzętu komputerowego</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6 000,00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4. Ryczałtowe koszty obsługi administracyjnej</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30 000,00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b/>
                <w:sz w:val="20"/>
              </w:rPr>
              <w:t>Razem:</w:t>
            </w:r>
          </w:p>
        </w:tc>
        <w:tc>
          <w:tcPr>
            <w:tcW w:w="3021" w:type="dxa"/>
          </w:tcPr>
          <w:p w:rsidR="007453DF" w:rsidRPr="00A5332C" w:rsidRDefault="007453DF" w:rsidP="00251642">
            <w:pPr>
              <w:jc w:val="right"/>
              <w:rPr>
                <w:rFonts w:eastAsia="Calibri" w:cstheme="minorHAnsi"/>
                <w:b/>
                <w:bCs/>
                <w:sz w:val="20"/>
              </w:rPr>
            </w:pPr>
            <w:r>
              <w:rPr>
                <w:rFonts w:cstheme="minorHAnsi"/>
                <w:b/>
                <w:sz w:val="20"/>
              </w:rPr>
              <w:t>712</w:t>
            </w:r>
            <w:r w:rsidRPr="00A5332C">
              <w:rPr>
                <w:rFonts w:cstheme="minorHAnsi"/>
                <w:b/>
                <w:sz w:val="20"/>
              </w:rPr>
              <w:t xml:space="preserve"> 500,00</w:t>
            </w:r>
          </w:p>
        </w:tc>
      </w:tr>
    </w:tbl>
    <w:p w:rsidR="007453DF" w:rsidRDefault="007453DF" w:rsidP="007453DF">
      <w:pPr>
        <w:rPr>
          <w:rFonts w:ascii="Lato" w:eastAsia="Calibri" w:hAnsi="Lato" w:cs="Arial"/>
          <w:b/>
          <w:bCs/>
          <w:sz w:val="20"/>
          <w:szCs w:val="20"/>
        </w:rPr>
      </w:pPr>
    </w:p>
    <w:tbl>
      <w:tblPr>
        <w:tblStyle w:val="Tabela-Siatka"/>
        <w:tblW w:w="0" w:type="auto"/>
        <w:tblLook w:val="04A0" w:firstRow="1" w:lastRow="0" w:firstColumn="1" w:lastColumn="0" w:noHBand="0" w:noVBand="1"/>
      </w:tblPr>
      <w:tblGrid>
        <w:gridCol w:w="2547"/>
        <w:gridCol w:w="3495"/>
        <w:gridCol w:w="3021"/>
      </w:tblGrid>
      <w:tr w:rsidR="007453DF" w:rsidTr="00251642">
        <w:tc>
          <w:tcPr>
            <w:tcW w:w="2547"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WBRN</w:t>
            </w:r>
          </w:p>
        </w:tc>
        <w:tc>
          <w:tcPr>
            <w:tcW w:w="3495"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Zakres zadań</w:t>
            </w:r>
          </w:p>
        </w:tc>
        <w:tc>
          <w:tcPr>
            <w:tcW w:w="3021" w:type="dxa"/>
          </w:tcPr>
          <w:p w:rsidR="007453DF" w:rsidRPr="00A5332C" w:rsidRDefault="007453DF" w:rsidP="00251642">
            <w:pPr>
              <w:jc w:val="center"/>
              <w:rPr>
                <w:rFonts w:eastAsia="Calibri" w:cstheme="minorHAnsi"/>
                <w:b/>
                <w:bCs/>
                <w:sz w:val="20"/>
              </w:rPr>
            </w:pPr>
            <w:r w:rsidRPr="00A5332C">
              <w:rPr>
                <w:rFonts w:eastAsia="Calibri" w:cstheme="minorHAnsi"/>
                <w:b/>
                <w:bCs/>
                <w:sz w:val="20"/>
              </w:rPr>
              <w:t>Koszt (zł)</w:t>
            </w:r>
          </w:p>
        </w:tc>
      </w:tr>
      <w:tr w:rsidR="007453DF" w:rsidTr="00251642">
        <w:tc>
          <w:tcPr>
            <w:tcW w:w="2547" w:type="dxa"/>
            <w:vMerge w:val="restart"/>
          </w:tcPr>
          <w:p w:rsidR="007453DF" w:rsidRDefault="007453DF" w:rsidP="007453DF">
            <w:pPr>
              <w:rPr>
                <w:rFonts w:eastAsia="Calibri" w:cstheme="minorHAnsi"/>
                <w:b/>
                <w:bCs/>
                <w:sz w:val="20"/>
              </w:rPr>
            </w:pPr>
            <w:r>
              <w:rPr>
                <w:rFonts w:eastAsia="Calibri" w:cstheme="minorHAnsi"/>
                <w:b/>
                <w:bCs/>
                <w:sz w:val="20"/>
              </w:rPr>
              <w:t xml:space="preserve">Narodowy Instytut Onkologii im. Marii Skłodowskiej-Curie – Państwowy Instytut Badawczy </w:t>
            </w:r>
          </w:p>
          <w:p w:rsidR="007453DF" w:rsidRPr="00A5332C" w:rsidRDefault="007453DF" w:rsidP="007453DF">
            <w:pPr>
              <w:rPr>
                <w:rFonts w:eastAsia="Calibri" w:cstheme="minorHAnsi"/>
                <w:b/>
                <w:bCs/>
                <w:sz w:val="20"/>
              </w:rPr>
            </w:pPr>
            <w:r>
              <w:rPr>
                <w:rFonts w:eastAsia="Calibri" w:cstheme="minorHAnsi"/>
                <w:b/>
                <w:bCs/>
                <w:sz w:val="20"/>
              </w:rPr>
              <w:t xml:space="preserve">Wojewódzkie Biuro Rejestracji Nowotworów </w:t>
            </w:r>
            <w:r>
              <w:rPr>
                <w:rFonts w:eastAsia="Calibri" w:cstheme="minorHAnsi"/>
                <w:b/>
                <w:bCs/>
                <w:sz w:val="20"/>
              </w:rPr>
              <w:br/>
              <w:t>w Gliwicach</w:t>
            </w:r>
          </w:p>
        </w:tc>
        <w:tc>
          <w:tcPr>
            <w:tcW w:w="3495" w:type="dxa"/>
          </w:tcPr>
          <w:p w:rsidR="007453DF" w:rsidRPr="00A5332C" w:rsidRDefault="007453DF" w:rsidP="00251642">
            <w:pPr>
              <w:rPr>
                <w:rFonts w:eastAsia="Calibri" w:cstheme="minorHAnsi"/>
                <w:b/>
                <w:bCs/>
                <w:sz w:val="20"/>
              </w:rPr>
            </w:pPr>
            <w:r w:rsidRPr="00A5332C">
              <w:rPr>
                <w:rFonts w:cstheme="minorHAnsi"/>
                <w:sz w:val="20"/>
              </w:rPr>
              <w:t>1. Koszty działalności biura rejestracji</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28 500,00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2. Koszty wynagrodzeń (maks. 9000 zł na jeden równoważnik etatu)</w:t>
            </w:r>
          </w:p>
        </w:tc>
        <w:tc>
          <w:tcPr>
            <w:tcW w:w="3021" w:type="dxa"/>
          </w:tcPr>
          <w:p w:rsidR="007453DF" w:rsidRPr="00A5332C" w:rsidRDefault="007453DF" w:rsidP="00251642">
            <w:pPr>
              <w:jc w:val="right"/>
              <w:rPr>
                <w:rFonts w:eastAsia="Calibri" w:cstheme="minorHAnsi"/>
                <w:b/>
                <w:bCs/>
                <w:sz w:val="20"/>
              </w:rPr>
            </w:pPr>
            <w:r>
              <w:rPr>
                <w:rFonts w:cstheme="minorHAnsi"/>
                <w:sz w:val="20"/>
              </w:rPr>
              <w:t>540</w:t>
            </w:r>
            <w:r w:rsidRPr="00A5332C">
              <w:rPr>
                <w:rFonts w:cstheme="minorHAnsi"/>
                <w:sz w:val="20"/>
              </w:rPr>
              <w:t xml:space="preserve">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3. Zakup drobnego sprzętu komputerowego</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6 000,00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sz w:val="20"/>
              </w:rPr>
              <w:t>4. Ryczałtowe koszty obsługi administracyjnej</w:t>
            </w:r>
          </w:p>
        </w:tc>
        <w:tc>
          <w:tcPr>
            <w:tcW w:w="3021" w:type="dxa"/>
          </w:tcPr>
          <w:p w:rsidR="007453DF" w:rsidRPr="00A5332C" w:rsidRDefault="007453DF" w:rsidP="00251642">
            <w:pPr>
              <w:jc w:val="right"/>
              <w:rPr>
                <w:rFonts w:eastAsia="Calibri" w:cstheme="minorHAnsi"/>
                <w:b/>
                <w:bCs/>
                <w:sz w:val="20"/>
              </w:rPr>
            </w:pPr>
            <w:r w:rsidRPr="00A5332C">
              <w:rPr>
                <w:rFonts w:cstheme="minorHAnsi"/>
                <w:sz w:val="20"/>
              </w:rPr>
              <w:t>30 000,00</w:t>
            </w:r>
          </w:p>
        </w:tc>
      </w:tr>
      <w:tr w:rsidR="007453DF" w:rsidTr="00251642">
        <w:tc>
          <w:tcPr>
            <w:tcW w:w="2547" w:type="dxa"/>
            <w:vMerge/>
          </w:tcPr>
          <w:p w:rsidR="007453DF" w:rsidRPr="00A5332C" w:rsidRDefault="007453DF" w:rsidP="00251642">
            <w:pPr>
              <w:rPr>
                <w:rFonts w:eastAsia="Calibri" w:cstheme="minorHAnsi"/>
                <w:b/>
                <w:bCs/>
                <w:sz w:val="20"/>
              </w:rPr>
            </w:pPr>
          </w:p>
        </w:tc>
        <w:tc>
          <w:tcPr>
            <w:tcW w:w="3495" w:type="dxa"/>
          </w:tcPr>
          <w:p w:rsidR="007453DF" w:rsidRPr="00A5332C" w:rsidRDefault="007453DF" w:rsidP="00251642">
            <w:pPr>
              <w:rPr>
                <w:rFonts w:eastAsia="Calibri" w:cstheme="minorHAnsi"/>
                <w:b/>
                <w:bCs/>
                <w:sz w:val="20"/>
              </w:rPr>
            </w:pPr>
            <w:r w:rsidRPr="00A5332C">
              <w:rPr>
                <w:rFonts w:cstheme="minorHAnsi"/>
                <w:b/>
                <w:sz w:val="20"/>
              </w:rPr>
              <w:t>Razem:</w:t>
            </w:r>
          </w:p>
        </w:tc>
        <w:tc>
          <w:tcPr>
            <w:tcW w:w="3021" w:type="dxa"/>
          </w:tcPr>
          <w:p w:rsidR="007453DF" w:rsidRPr="00A5332C" w:rsidRDefault="007453DF" w:rsidP="00251642">
            <w:pPr>
              <w:jc w:val="right"/>
              <w:rPr>
                <w:rFonts w:eastAsia="Calibri" w:cstheme="minorHAnsi"/>
                <w:b/>
                <w:bCs/>
                <w:sz w:val="20"/>
              </w:rPr>
            </w:pPr>
            <w:r>
              <w:rPr>
                <w:rFonts w:cstheme="minorHAnsi"/>
                <w:b/>
                <w:sz w:val="20"/>
              </w:rPr>
              <w:t>604</w:t>
            </w:r>
            <w:r w:rsidRPr="00A5332C">
              <w:rPr>
                <w:rFonts w:cstheme="minorHAnsi"/>
                <w:b/>
                <w:sz w:val="20"/>
              </w:rPr>
              <w:t xml:space="preserve"> 500,00</w:t>
            </w:r>
          </w:p>
        </w:tc>
      </w:tr>
    </w:tbl>
    <w:p w:rsidR="007453DF" w:rsidRDefault="007453DF" w:rsidP="007453DF">
      <w:pPr>
        <w:jc w:val="right"/>
        <w:rPr>
          <w:rFonts w:ascii="Lato" w:eastAsia="Calibri" w:hAnsi="Lato" w:cs="Arial"/>
          <w:b/>
          <w:bCs/>
          <w:sz w:val="20"/>
          <w:szCs w:val="20"/>
        </w:rPr>
      </w:pPr>
    </w:p>
    <w:p w:rsidR="007453DF" w:rsidRDefault="007453DF" w:rsidP="007453DF">
      <w:pPr>
        <w:jc w:val="right"/>
        <w:rPr>
          <w:rFonts w:ascii="Lato" w:eastAsia="Calibri" w:hAnsi="Lato" w:cs="Arial"/>
          <w:b/>
          <w:bCs/>
          <w:sz w:val="20"/>
          <w:szCs w:val="20"/>
        </w:rPr>
      </w:pPr>
    </w:p>
    <w:p w:rsidR="007453DF" w:rsidRDefault="007453DF" w:rsidP="007453DF">
      <w:pPr>
        <w:rPr>
          <w:rFonts w:ascii="Lato" w:eastAsia="Calibri" w:hAnsi="Lato" w:cs="Arial"/>
          <w:b/>
          <w:bCs/>
          <w:sz w:val="20"/>
          <w:szCs w:val="20"/>
        </w:rPr>
      </w:pPr>
    </w:p>
    <w:p w:rsidR="007453DF" w:rsidRDefault="007453DF" w:rsidP="007453DF">
      <w:pPr>
        <w:rPr>
          <w:rFonts w:ascii="Lato" w:eastAsia="Calibri" w:hAnsi="Lato" w:cs="Arial"/>
          <w:b/>
          <w:bCs/>
          <w:sz w:val="20"/>
          <w:szCs w:val="20"/>
        </w:rPr>
      </w:pPr>
    </w:p>
    <w:p w:rsidR="007453DF" w:rsidRDefault="007453DF" w:rsidP="007453DF">
      <w:pPr>
        <w:jc w:val="right"/>
        <w:rPr>
          <w:rFonts w:ascii="Lato" w:eastAsia="Calibri" w:hAnsi="Lato" w:cs="Arial"/>
          <w:b/>
          <w:bCs/>
          <w:sz w:val="20"/>
          <w:szCs w:val="20"/>
        </w:rPr>
      </w:pPr>
    </w:p>
    <w:p w:rsidR="007453DF" w:rsidRDefault="007453DF" w:rsidP="007453DF">
      <w:pPr>
        <w:spacing w:line="259" w:lineRule="auto"/>
        <w:rPr>
          <w:rFonts w:ascii="Lato" w:eastAsia="Calibri" w:hAnsi="Lato" w:cs="Arial"/>
          <w:b/>
          <w:bCs/>
          <w:sz w:val="20"/>
          <w:szCs w:val="20"/>
        </w:rPr>
      </w:pPr>
      <w:r>
        <w:rPr>
          <w:rFonts w:ascii="Lato" w:eastAsia="Calibri" w:hAnsi="Lato" w:cs="Arial"/>
          <w:b/>
          <w:bCs/>
          <w:sz w:val="20"/>
          <w:szCs w:val="20"/>
        </w:rPr>
        <w:br w:type="page"/>
      </w:r>
    </w:p>
    <w:p w:rsidR="007453DF" w:rsidRPr="007453DF" w:rsidRDefault="007453DF" w:rsidP="00332C47">
      <w:pPr>
        <w:spacing w:line="259" w:lineRule="auto"/>
        <w:jc w:val="right"/>
        <w:rPr>
          <w:rFonts w:ascii="Lato" w:eastAsia="Calibri" w:hAnsi="Lato" w:cs="Arial"/>
          <w:b/>
          <w:bCs/>
          <w:sz w:val="20"/>
          <w:szCs w:val="20"/>
        </w:rPr>
      </w:pPr>
      <w:r w:rsidRPr="00D366DE">
        <w:rPr>
          <w:rFonts w:eastAsia="Calibri" w:cstheme="minorHAnsi"/>
          <w:b/>
          <w:bCs/>
          <w:sz w:val="20"/>
          <w:szCs w:val="20"/>
        </w:rPr>
        <w:lastRenderedPageBreak/>
        <w:t xml:space="preserve">Załącznik nr 1a </w:t>
      </w:r>
    </w:p>
    <w:p w:rsidR="00F206F6" w:rsidRPr="008207E0" w:rsidRDefault="00F206F6" w:rsidP="00F206F6">
      <w:pPr>
        <w:spacing w:after="0" w:line="360" w:lineRule="auto"/>
        <w:jc w:val="center"/>
        <w:rPr>
          <w:rFonts w:eastAsia="Calibri" w:cstheme="minorHAnsi"/>
          <w:b/>
        </w:rPr>
      </w:pPr>
      <w:r w:rsidRPr="008207E0">
        <w:rPr>
          <w:rFonts w:eastAsia="Calibri" w:cstheme="minorHAnsi"/>
          <w:b/>
        </w:rPr>
        <w:t>Szczegółowy opis sposobu realizacji Zadania</w:t>
      </w:r>
    </w:p>
    <w:p w:rsidR="00F206F6" w:rsidRPr="008207E0" w:rsidRDefault="00F206F6" w:rsidP="00F206F6">
      <w:pPr>
        <w:spacing w:after="0" w:line="360" w:lineRule="auto"/>
        <w:jc w:val="both"/>
        <w:rPr>
          <w:rFonts w:eastAsia="Calibri" w:cstheme="minorHAnsi"/>
        </w:rPr>
      </w:pPr>
    </w:p>
    <w:p w:rsidR="00F206F6" w:rsidRPr="008207E0" w:rsidRDefault="00F206F6" w:rsidP="00F206F6">
      <w:pPr>
        <w:spacing w:after="0" w:line="360" w:lineRule="auto"/>
        <w:jc w:val="both"/>
        <w:rPr>
          <w:rFonts w:eastAsia="Calibri" w:cstheme="minorHAnsi"/>
        </w:rPr>
      </w:pPr>
      <w:r w:rsidRPr="008207E0">
        <w:rPr>
          <w:rFonts w:eastAsia="Calibri" w:cstheme="minorHAnsi"/>
        </w:rPr>
        <w:t xml:space="preserve">Zgodnie z § 2 ust. 1 rozporządzenia Ministra Zdrowia w sprawie Krajowego Rejestru Nowotworów </w:t>
      </w:r>
      <w:r w:rsidRPr="008207E0">
        <w:rPr>
          <w:rFonts w:eastAsia="Calibri" w:cstheme="minorHAnsi"/>
        </w:rPr>
        <w:br/>
        <w:t xml:space="preserve">z dnia 14 czerwca 2018 r. </w:t>
      </w:r>
      <w:r w:rsidRPr="008207E0">
        <w:rPr>
          <w:rFonts w:eastAsia="Calibri" w:cstheme="minorHAnsi"/>
          <w:b/>
          <w:bCs/>
        </w:rPr>
        <w:t xml:space="preserve">podmiotem prowadzącym rejestr jest Narodowy Instytut Onkologii im. Marii Skłodowskiej Curie, Państwowy Instytut Badawczy. </w:t>
      </w:r>
      <w:r w:rsidRPr="008207E0">
        <w:rPr>
          <w:rFonts w:eastAsia="Calibri" w:cstheme="minorHAnsi"/>
        </w:rPr>
        <w:t>NIO-PIB prowadzi Krajowy Rejestr Nowotworów przy udziale Biura Krajowego Rejestru Nowotworów, które działa w strukturze organizacyjnej Instytutu.</w:t>
      </w:r>
    </w:p>
    <w:p w:rsidR="00F206F6" w:rsidRPr="008207E0" w:rsidRDefault="00F206F6" w:rsidP="00F206F6">
      <w:pPr>
        <w:spacing w:after="0" w:line="360" w:lineRule="auto"/>
        <w:jc w:val="both"/>
        <w:rPr>
          <w:rFonts w:eastAsia="Calibri" w:cstheme="minorHAnsi"/>
          <w:b/>
          <w:bCs/>
        </w:rPr>
      </w:pPr>
      <w:r w:rsidRPr="008207E0">
        <w:rPr>
          <w:rFonts w:eastAsia="Calibri" w:cstheme="minorHAnsi"/>
          <w:b/>
          <w:bCs/>
        </w:rPr>
        <w:t>Rejestr jest prowadzony za pośrednictwem wojewódzkich biur rejestracji nowotworów (WBRN)</w:t>
      </w:r>
      <w:r w:rsidRPr="008207E0">
        <w:rPr>
          <w:rFonts w:eastAsia="Calibri" w:cstheme="minorHAnsi"/>
        </w:rPr>
        <w:t xml:space="preserve">, uprawnionych do gromadzenia i przetwarzania danych, przekazywanych przez podmioty określone </w:t>
      </w:r>
      <w:r w:rsidRPr="008207E0">
        <w:rPr>
          <w:rFonts w:eastAsia="Calibri" w:cstheme="minorHAnsi"/>
        </w:rPr>
        <w:br/>
        <w:t xml:space="preserve">w art. 19 ust. 8 ustawy, o </w:t>
      </w:r>
      <w:proofErr w:type="spellStart"/>
      <w:r w:rsidRPr="008207E0">
        <w:rPr>
          <w:rFonts w:eastAsia="Calibri" w:cstheme="minorHAnsi"/>
        </w:rPr>
        <w:t>rozpoznaniach</w:t>
      </w:r>
      <w:proofErr w:type="spellEnd"/>
      <w:r w:rsidRPr="008207E0">
        <w:rPr>
          <w:rFonts w:eastAsia="Calibri" w:cstheme="minorHAnsi"/>
        </w:rPr>
        <w:t xml:space="preserve"> i podejrzeniach występowania nowotworów złośliwych na terenie województwa, w którym realizują swoje zadania, będących wyznaczonymi do tych zadań komórkami organizacyjnymi zakładów leczniczych w podmiotach leczniczych wyspecjalizowanych w zakresie onkologii.</w:t>
      </w:r>
    </w:p>
    <w:p w:rsidR="00F206F6" w:rsidRPr="008207E0" w:rsidRDefault="00F206F6" w:rsidP="00F206F6">
      <w:pPr>
        <w:spacing w:after="0" w:line="360" w:lineRule="auto"/>
        <w:rPr>
          <w:rFonts w:eastAsia="Calibri" w:cstheme="minorHAnsi"/>
          <w:b/>
        </w:rPr>
      </w:pPr>
    </w:p>
    <w:p w:rsidR="00F206F6" w:rsidRPr="008207E0" w:rsidRDefault="00F206F6" w:rsidP="00F206F6">
      <w:pPr>
        <w:spacing w:after="0" w:line="360" w:lineRule="auto"/>
        <w:rPr>
          <w:rFonts w:eastAsia="Calibri" w:cstheme="minorHAnsi"/>
          <w:b/>
        </w:rPr>
      </w:pPr>
      <w:r w:rsidRPr="008207E0">
        <w:rPr>
          <w:rFonts w:eastAsia="Calibri" w:cstheme="minorHAnsi"/>
          <w:b/>
        </w:rPr>
        <w:t>Zasady realizacji programu</w:t>
      </w:r>
    </w:p>
    <w:p w:rsidR="00F206F6" w:rsidRPr="008207E0" w:rsidRDefault="00F206F6" w:rsidP="00F206F6">
      <w:pPr>
        <w:spacing w:after="0" w:line="360" w:lineRule="auto"/>
        <w:jc w:val="both"/>
        <w:rPr>
          <w:rFonts w:eastAsia="Calibri" w:cstheme="minorHAnsi"/>
        </w:rPr>
      </w:pPr>
      <w:r w:rsidRPr="008207E0">
        <w:rPr>
          <w:rFonts w:eastAsia="Calibri" w:cstheme="minorHAnsi"/>
        </w:rPr>
        <w:t xml:space="preserve">Realizator zobowiązany jest do rzetelnego, bieżącego zbierania i weryfikacji danych dotyczących zachorowań na nowotwory oraz do bezzwłocznego ich przekazywania do Krajowego Rejestru Nowotworów za pomocą systemu teleinformatycznego. WBRN zobowiązane są również do przeprowadzania szkoleń dla menadżerów ochrony zdrowia, lekarzy, personelu medycznego, pracowników IT i innych pracowników w zakresie prawidłowego przekazywania danych określonego w Obwieszczeniu Ministra Zdrowia w sprawie ogłoszenia jednolitego tekstu rozporządzenia Ministra Zdrowia i zgodnie z programem badań statystycznych realizowanym w ramach ustawy o statystyce publicznej. Obowiązuje zakres danych określony w ww. Obwieszczeniu. Nadzór merytoryczny nad WBRN w zakresie procesu rejestracji i związanego z nim przetwarzania danych </w:t>
      </w:r>
      <w:r w:rsidRPr="008207E0">
        <w:rPr>
          <w:rFonts w:eastAsia="Calibri" w:cstheme="minorHAnsi"/>
        </w:rPr>
        <w:br/>
        <w:t xml:space="preserve">o </w:t>
      </w:r>
      <w:proofErr w:type="spellStart"/>
      <w:r w:rsidRPr="008207E0">
        <w:rPr>
          <w:rFonts w:eastAsia="Calibri" w:cstheme="minorHAnsi"/>
        </w:rPr>
        <w:t>zachorowaniach</w:t>
      </w:r>
      <w:proofErr w:type="spellEnd"/>
      <w:r w:rsidRPr="008207E0">
        <w:rPr>
          <w:rFonts w:eastAsia="Calibri" w:cstheme="minorHAnsi"/>
        </w:rPr>
        <w:t xml:space="preserve"> i zgonach na nowotwory złośliwe prowadzi Krajowy Rejestr Nowotworów (KRN). </w:t>
      </w:r>
    </w:p>
    <w:p w:rsidR="00F206F6" w:rsidRPr="008207E0" w:rsidRDefault="00F206F6" w:rsidP="00F206F6">
      <w:pPr>
        <w:spacing w:after="0" w:line="360" w:lineRule="auto"/>
        <w:rPr>
          <w:rFonts w:eastAsia="Calibri" w:cstheme="minorHAnsi"/>
          <w:b/>
        </w:rPr>
      </w:pPr>
      <w:r w:rsidRPr="008207E0">
        <w:rPr>
          <w:rFonts w:eastAsia="Calibri" w:cstheme="minorHAnsi"/>
          <w:b/>
        </w:rPr>
        <w:t>Cele:</w:t>
      </w:r>
    </w:p>
    <w:p w:rsidR="00F206F6" w:rsidRPr="008207E0" w:rsidRDefault="00F206F6" w:rsidP="00F206F6">
      <w:pPr>
        <w:pStyle w:val="Akapitzlist"/>
        <w:numPr>
          <w:ilvl w:val="0"/>
          <w:numId w:val="11"/>
        </w:numPr>
        <w:spacing w:after="0" w:line="360" w:lineRule="auto"/>
        <w:rPr>
          <w:rFonts w:eastAsia="Calibri" w:cstheme="minorHAnsi"/>
          <w:bCs/>
        </w:rPr>
      </w:pPr>
      <w:r w:rsidRPr="008207E0">
        <w:rPr>
          <w:rFonts w:eastAsia="Calibri" w:cstheme="minorHAnsi"/>
        </w:rPr>
        <w:t>Utrzymywanie wysokiej jakości danych dotyczących nowotworów, wprowadzanych do bazy KRN, co będzie monitorowane poprzez przeprowadzaną raz na pół roku ocenę</w:t>
      </w:r>
      <w:r w:rsidRPr="008207E0">
        <w:rPr>
          <w:rFonts w:eastAsia="Calibri" w:cstheme="minorHAnsi"/>
          <w:bCs/>
        </w:rPr>
        <w:t>:</w:t>
      </w:r>
    </w:p>
    <w:p w:rsidR="00F206F6" w:rsidRPr="008207E0" w:rsidRDefault="00F206F6" w:rsidP="00F206F6">
      <w:pPr>
        <w:pStyle w:val="Akapitzlist"/>
        <w:numPr>
          <w:ilvl w:val="1"/>
          <w:numId w:val="11"/>
        </w:numPr>
        <w:tabs>
          <w:tab w:val="left" w:pos="1134"/>
        </w:tabs>
        <w:spacing w:after="0" w:line="360" w:lineRule="auto"/>
        <w:rPr>
          <w:rFonts w:cstheme="minorHAnsi"/>
          <w:color w:val="000000"/>
        </w:rPr>
      </w:pPr>
      <w:r w:rsidRPr="008207E0">
        <w:rPr>
          <w:rFonts w:cstheme="minorHAnsi"/>
          <w:color w:val="000000"/>
        </w:rPr>
        <w:t>odsetka przypadków potwierdzonych z podstawą diagnozy: cytologia, histologia guza pierwotnego lub histologia (%MV)</w:t>
      </w:r>
    </w:p>
    <w:p w:rsidR="00F206F6" w:rsidRPr="008207E0" w:rsidRDefault="00F206F6" w:rsidP="00F206F6">
      <w:pPr>
        <w:pStyle w:val="Akapitzlist"/>
        <w:numPr>
          <w:ilvl w:val="1"/>
          <w:numId w:val="11"/>
        </w:numPr>
        <w:tabs>
          <w:tab w:val="left" w:pos="1134"/>
        </w:tabs>
        <w:spacing w:after="0" w:line="360" w:lineRule="auto"/>
        <w:rPr>
          <w:rFonts w:cstheme="minorHAnsi"/>
          <w:color w:val="000000"/>
        </w:rPr>
      </w:pPr>
      <w:r w:rsidRPr="008207E0">
        <w:rPr>
          <w:rFonts w:cstheme="minorHAnsi"/>
          <w:color w:val="000000"/>
        </w:rPr>
        <w:t xml:space="preserve"> odsetka przypadków z nieokreśloną morfologią: kody morfologiczne uważane za nieokreślone morfologie to 8000-8005 dla guzów litych oraz 9590-9591, 9596, 9727, 9760, 9800-9801, 9805-9809, 9820, 9832, 9835, 9860, 9960, 9970-9971, 9975, 9989 dla nowotworów hematologicznych. (%UM)</w:t>
      </w:r>
    </w:p>
    <w:p w:rsidR="00F206F6" w:rsidRPr="008207E0" w:rsidRDefault="00F206F6" w:rsidP="00F206F6">
      <w:pPr>
        <w:pStyle w:val="Akapitzlist"/>
        <w:numPr>
          <w:ilvl w:val="1"/>
          <w:numId w:val="11"/>
        </w:numPr>
        <w:tabs>
          <w:tab w:val="left" w:pos="1134"/>
        </w:tabs>
        <w:spacing w:after="0" w:line="360" w:lineRule="auto"/>
        <w:rPr>
          <w:rFonts w:cstheme="minorHAnsi"/>
          <w:color w:val="000000"/>
        </w:rPr>
      </w:pPr>
      <w:r w:rsidRPr="008207E0">
        <w:rPr>
          <w:rFonts w:cstheme="minorHAnsi"/>
          <w:color w:val="000000"/>
        </w:rPr>
        <w:lastRenderedPageBreak/>
        <w:t xml:space="preserve"> odsetka przypadków o nieznanym umiejscowieniu pierwotnym (C80) (%PSU)</w:t>
      </w:r>
    </w:p>
    <w:p w:rsidR="00F206F6" w:rsidRPr="008207E0" w:rsidRDefault="00F206F6" w:rsidP="00F206F6">
      <w:pPr>
        <w:pStyle w:val="Akapitzlist"/>
        <w:numPr>
          <w:ilvl w:val="1"/>
          <w:numId w:val="11"/>
        </w:numPr>
        <w:tabs>
          <w:tab w:val="left" w:pos="1134"/>
        </w:tabs>
        <w:spacing w:after="0" w:line="360" w:lineRule="auto"/>
        <w:rPr>
          <w:rFonts w:cstheme="minorHAnsi"/>
          <w:color w:val="000000"/>
        </w:rPr>
      </w:pPr>
      <w:r w:rsidRPr="008207E0">
        <w:rPr>
          <w:rFonts w:cstheme="minorHAnsi"/>
          <w:color w:val="000000"/>
        </w:rPr>
        <w:t>wskaźnika zgony/zachorowania (M/I ratio);</w:t>
      </w:r>
    </w:p>
    <w:p w:rsidR="00F206F6" w:rsidRPr="008207E0" w:rsidRDefault="00F206F6" w:rsidP="00F206F6">
      <w:pPr>
        <w:pStyle w:val="Akapitzlist"/>
        <w:numPr>
          <w:ilvl w:val="0"/>
          <w:numId w:val="11"/>
        </w:numPr>
        <w:spacing w:after="0" w:line="360" w:lineRule="auto"/>
        <w:rPr>
          <w:rFonts w:eastAsia="Calibri" w:cstheme="minorHAnsi"/>
        </w:rPr>
      </w:pPr>
      <w:r w:rsidRPr="008207E0">
        <w:rPr>
          <w:rFonts w:eastAsia="Calibri" w:cstheme="minorHAnsi"/>
        </w:rPr>
        <w:t>Ciągła aktualizacja danych w celu uzyskania jak największej kompletności i jakości danych z województwa,</w:t>
      </w:r>
    </w:p>
    <w:p w:rsidR="00F206F6" w:rsidRPr="008207E0" w:rsidRDefault="00F206F6" w:rsidP="00F206F6">
      <w:pPr>
        <w:pStyle w:val="Akapitzlist"/>
        <w:numPr>
          <w:ilvl w:val="0"/>
          <w:numId w:val="11"/>
        </w:numPr>
        <w:spacing w:after="0" w:line="360" w:lineRule="auto"/>
        <w:rPr>
          <w:rFonts w:eastAsia="Calibri" w:cstheme="minorHAnsi"/>
        </w:rPr>
      </w:pPr>
      <w:r w:rsidRPr="008207E0">
        <w:rPr>
          <w:rFonts w:eastAsia="Calibri" w:cstheme="minorHAnsi"/>
        </w:rPr>
        <w:t>Terminowe przekazanie danych do KRN za rok sprawozdawczy (n-2), tzn. do 30 września danego roku (n), np. za rok 2023 do 30.09.2025,</w:t>
      </w:r>
    </w:p>
    <w:p w:rsidR="00F206F6" w:rsidRPr="008207E0" w:rsidRDefault="00F206F6" w:rsidP="00F206F6">
      <w:pPr>
        <w:pStyle w:val="Akapitzlist"/>
        <w:numPr>
          <w:ilvl w:val="0"/>
          <w:numId w:val="11"/>
        </w:numPr>
        <w:spacing w:after="0" w:line="360" w:lineRule="auto"/>
        <w:rPr>
          <w:rFonts w:eastAsia="Calibri" w:cstheme="minorHAnsi"/>
        </w:rPr>
      </w:pPr>
      <w:r w:rsidRPr="008207E0">
        <w:rPr>
          <w:rFonts w:eastAsia="Calibri" w:cstheme="minorHAnsi"/>
        </w:rPr>
        <w:t>Coroczna terminowa publikacja danych w formie elektronicznej (biuletyn).</w:t>
      </w:r>
    </w:p>
    <w:p w:rsidR="00F206F6" w:rsidRPr="001D7287" w:rsidRDefault="00F206F6" w:rsidP="00F206F6">
      <w:pPr>
        <w:pStyle w:val="Akapitzlist"/>
        <w:numPr>
          <w:ilvl w:val="0"/>
          <w:numId w:val="11"/>
        </w:numPr>
        <w:spacing w:after="0" w:line="360" w:lineRule="auto"/>
        <w:rPr>
          <w:rFonts w:cstheme="minorHAnsi"/>
          <w:color w:val="000000"/>
        </w:rPr>
      </w:pPr>
      <w:bookmarkStart w:id="0" w:name="_Hlk158801796"/>
      <w:r w:rsidRPr="008207E0">
        <w:rPr>
          <w:rFonts w:cstheme="minorHAnsi"/>
          <w:color w:val="000000"/>
        </w:rPr>
        <w:t>Ocena kompletności zgromadzonych w danych w województwie, co będzie monitorowane na podstawie wojewódzkiego wskaźnika kompletności określonego dla nowotworów ogółem (bez skóry, mężczyźni, kobiety), raka płuca (mężczyźni, kobiety) i  raka piersi (kobiety) obliczonego według następującego wzoru:</w:t>
      </w:r>
    </w:p>
    <w:p w:rsidR="00F206F6" w:rsidRPr="008207E0" w:rsidRDefault="00F206F6" w:rsidP="00F206F6">
      <w:pPr>
        <w:pStyle w:val="Akapitzlist"/>
        <w:spacing w:after="0" w:line="360" w:lineRule="auto"/>
        <w:rPr>
          <w:rFonts w:cstheme="minorHAnsi"/>
          <w:color w:val="000000"/>
        </w:rPr>
      </w:pPr>
    </w:p>
    <w:p w:rsidR="00F206F6" w:rsidRPr="008207E0" w:rsidRDefault="00F206F6" w:rsidP="00F206F6">
      <w:pPr>
        <w:pStyle w:val="Akapitzlist"/>
        <w:spacing w:after="0" w:line="360" w:lineRule="auto"/>
        <w:jc w:val="center"/>
        <w:rPr>
          <w:rFonts w:cstheme="minorHAnsi"/>
          <w:color w:val="000000"/>
          <w:vertAlign w:val="subscript"/>
        </w:rPr>
      </w:pPr>
      <w:r w:rsidRPr="008207E0">
        <w:rPr>
          <w:rFonts w:cstheme="minorHAnsi"/>
          <w:b/>
          <w:color w:val="000000"/>
        </w:rPr>
        <w:t xml:space="preserve">Wskaźnik </w:t>
      </w:r>
      <w:r w:rsidRPr="008207E0">
        <w:rPr>
          <w:rFonts w:cstheme="minorHAnsi"/>
          <w:b/>
          <w:color w:val="000000"/>
          <w:vertAlign w:val="subscript"/>
        </w:rPr>
        <w:t>kompletmośc</w:t>
      </w:r>
      <w:r w:rsidRPr="008207E0">
        <w:rPr>
          <w:rFonts w:cstheme="minorHAnsi"/>
          <w:color w:val="000000"/>
          <w:vertAlign w:val="subscript"/>
        </w:rPr>
        <w:t>i</w:t>
      </w:r>
      <w:r w:rsidRPr="008207E0">
        <w:rPr>
          <w:rFonts w:cstheme="minorHAnsi"/>
          <w:color w:val="000000"/>
        </w:rPr>
        <w:t>2023</w:t>
      </w:r>
      <w:r w:rsidRPr="008207E0">
        <w:rPr>
          <w:rFonts w:cstheme="minorHAnsi"/>
          <w:color w:val="000000"/>
          <w:vertAlign w:val="subscript"/>
        </w:rPr>
        <w:t xml:space="preserve"> </w:t>
      </w:r>
      <w:r w:rsidRPr="008207E0">
        <w:rPr>
          <w:rFonts w:cstheme="minorHAnsi"/>
          <w:color w:val="000000"/>
        </w:rPr>
        <w:t xml:space="preserve">= liczba zachorowań/(1-obserwowany wskaźnik przeżyć </w:t>
      </w:r>
      <w:r w:rsidRPr="008207E0">
        <w:rPr>
          <w:rFonts w:cstheme="minorHAnsi"/>
          <w:color w:val="000000"/>
          <w:vertAlign w:val="subscript"/>
        </w:rPr>
        <w:t>2015-2019</w:t>
      </w:r>
      <w:r w:rsidRPr="008207E0">
        <w:rPr>
          <w:rFonts w:cstheme="minorHAnsi"/>
          <w:color w:val="000000"/>
        </w:rPr>
        <w:t>).</w:t>
      </w:r>
    </w:p>
    <w:p w:rsidR="00F206F6" w:rsidRPr="008207E0" w:rsidRDefault="00F206F6" w:rsidP="00F206F6">
      <w:pPr>
        <w:spacing w:after="0" w:line="360" w:lineRule="auto"/>
        <w:rPr>
          <w:rFonts w:eastAsia="Calibri" w:cstheme="minorHAnsi"/>
          <w:bCs/>
        </w:rPr>
      </w:pPr>
    </w:p>
    <w:p w:rsidR="00F206F6" w:rsidRPr="008207E0" w:rsidRDefault="00F206F6" w:rsidP="00F206F6">
      <w:pPr>
        <w:spacing w:after="0" w:line="360" w:lineRule="auto"/>
        <w:rPr>
          <w:rFonts w:eastAsia="Calibri" w:cstheme="minorHAnsi"/>
          <w:b/>
          <w:bCs/>
        </w:rPr>
      </w:pPr>
      <w:r w:rsidRPr="008207E0">
        <w:rPr>
          <w:rFonts w:eastAsia="Calibri" w:cstheme="minorHAnsi"/>
          <w:b/>
          <w:bCs/>
        </w:rPr>
        <w:t>Zasady ogólne dotyczące rozliczania kosztów w ramach umowy:</w:t>
      </w:r>
    </w:p>
    <w:bookmarkEnd w:id="0"/>
    <w:p w:rsidR="00F206F6" w:rsidRPr="008207E0" w:rsidRDefault="00F206F6" w:rsidP="00F206F6">
      <w:pPr>
        <w:pStyle w:val="Akapitzlist"/>
        <w:numPr>
          <w:ilvl w:val="0"/>
          <w:numId w:val="6"/>
        </w:numPr>
        <w:spacing w:after="0" w:line="360" w:lineRule="auto"/>
        <w:jc w:val="both"/>
        <w:rPr>
          <w:rFonts w:eastAsia="Calibri" w:cstheme="minorHAnsi"/>
        </w:rPr>
      </w:pPr>
      <w:r w:rsidRPr="008207E0">
        <w:rPr>
          <w:rFonts w:eastAsia="Calibri" w:cstheme="minorHAnsi"/>
        </w:rPr>
        <w:t>Załączniki merytoryczne powinny być weryfikowane przez Kierownika WBRN opatrzone podpisem oraz danymi kontaktowymi (telefon, email),</w:t>
      </w:r>
    </w:p>
    <w:p w:rsidR="00F206F6" w:rsidRPr="008207E0" w:rsidRDefault="00F206F6" w:rsidP="00F206F6">
      <w:pPr>
        <w:pStyle w:val="Akapitzlist"/>
        <w:numPr>
          <w:ilvl w:val="0"/>
          <w:numId w:val="6"/>
        </w:numPr>
        <w:spacing w:after="0" w:line="360" w:lineRule="auto"/>
        <w:jc w:val="both"/>
        <w:rPr>
          <w:rFonts w:eastAsia="Calibri" w:cstheme="minorHAnsi"/>
        </w:rPr>
      </w:pPr>
      <w:r w:rsidRPr="008207E0">
        <w:rPr>
          <w:rFonts w:eastAsia="Calibri" w:cstheme="minorHAnsi"/>
        </w:rPr>
        <w:t xml:space="preserve">Załączniki powinny być przesyłane przez </w:t>
      </w:r>
      <w:proofErr w:type="spellStart"/>
      <w:r w:rsidRPr="008207E0">
        <w:rPr>
          <w:rFonts w:eastAsia="Calibri" w:cstheme="minorHAnsi"/>
        </w:rPr>
        <w:t>ePUAP</w:t>
      </w:r>
      <w:proofErr w:type="spellEnd"/>
      <w:r w:rsidRPr="008207E0">
        <w:rPr>
          <w:rFonts w:eastAsia="Calibri" w:cstheme="minorHAnsi"/>
        </w:rPr>
        <w:t xml:space="preserve"> na adres </w:t>
      </w:r>
      <w:proofErr w:type="spellStart"/>
      <w:r w:rsidRPr="008207E0">
        <w:rPr>
          <w:rFonts w:eastAsia="Calibri" w:cstheme="minorHAnsi"/>
        </w:rPr>
        <w:t>ePUAP</w:t>
      </w:r>
      <w:proofErr w:type="spellEnd"/>
      <w:r w:rsidRPr="008207E0">
        <w:rPr>
          <w:rFonts w:eastAsia="Calibri" w:cstheme="minorHAnsi"/>
        </w:rPr>
        <w:t>: /COI_KRN/</w:t>
      </w:r>
      <w:proofErr w:type="spellStart"/>
      <w:r w:rsidRPr="008207E0">
        <w:rPr>
          <w:rFonts w:eastAsia="Calibri" w:cstheme="minorHAnsi"/>
        </w:rPr>
        <w:t>SkrytkaESP</w:t>
      </w:r>
      <w:proofErr w:type="spellEnd"/>
      <w:r w:rsidRPr="008207E0">
        <w:rPr>
          <w:rFonts w:eastAsia="Calibri" w:cstheme="minorHAnsi"/>
        </w:rPr>
        <w:t xml:space="preserve"> </w:t>
      </w:r>
    </w:p>
    <w:p w:rsidR="00F206F6" w:rsidRPr="008207E0" w:rsidRDefault="00F206F6" w:rsidP="00F206F6">
      <w:pPr>
        <w:pStyle w:val="Akapitzlist"/>
        <w:numPr>
          <w:ilvl w:val="0"/>
          <w:numId w:val="6"/>
        </w:numPr>
        <w:spacing w:after="0" w:line="360" w:lineRule="auto"/>
        <w:jc w:val="both"/>
        <w:rPr>
          <w:rFonts w:eastAsia="Calibri" w:cstheme="minorHAnsi"/>
        </w:rPr>
      </w:pPr>
      <w:r w:rsidRPr="008207E0">
        <w:rPr>
          <w:rFonts w:eastAsia="Calibri" w:cstheme="minorHAnsi"/>
        </w:rPr>
        <w:t>Kierownik Biura Rejestru oraz pracownicy powinni zapoznać się z treśc</w:t>
      </w:r>
      <w:r w:rsidR="004B1A83">
        <w:rPr>
          <w:rFonts w:eastAsia="Calibri" w:cstheme="minorHAnsi"/>
        </w:rPr>
        <w:t xml:space="preserve">ią umowy oraz aktualną treścią </w:t>
      </w:r>
      <w:r w:rsidRPr="008207E0">
        <w:rPr>
          <w:rFonts w:eastAsia="Calibri" w:cstheme="minorHAnsi"/>
        </w:rPr>
        <w:t>i formą załączników (w tym dot. RODO), w przypadku aneksów do umowy - również z treścią aneksów,</w:t>
      </w:r>
    </w:p>
    <w:p w:rsidR="00F206F6" w:rsidRPr="001D7287" w:rsidRDefault="00F206F6" w:rsidP="00F206F6">
      <w:pPr>
        <w:pStyle w:val="Akapitzlist"/>
        <w:numPr>
          <w:ilvl w:val="0"/>
          <w:numId w:val="6"/>
        </w:numPr>
        <w:spacing w:after="0" w:line="360" w:lineRule="auto"/>
        <w:jc w:val="both"/>
        <w:rPr>
          <w:rFonts w:eastAsia="Calibri" w:cstheme="minorHAnsi"/>
        </w:rPr>
      </w:pPr>
      <w:r w:rsidRPr="008207E0">
        <w:rPr>
          <w:rFonts w:eastAsia="Calibri" w:cstheme="minorHAnsi"/>
        </w:rPr>
        <w:t>Realizator zobowiązany jest do każdorazowego udokumentowania kosztów wykazanych w rozliczeniu stanowiącym podstawę przekazania środków publicznych przez szczegółowy opis w załączniku merytorycznym oraz przedstawienie zestawienia dokumentów potwierdzających poniesione koszty tak, aby możliwe było zweryfikowanie wypełnienia wszystkich zapisów umowy.</w:t>
      </w:r>
      <w:r w:rsidRPr="001D7287">
        <w:rPr>
          <w:rFonts w:eastAsia="Calibri" w:cstheme="minorHAnsi"/>
          <w:b/>
          <w:bCs/>
        </w:rPr>
        <w:br w:type="page"/>
      </w:r>
    </w:p>
    <w:p w:rsidR="00F206F6" w:rsidRPr="00F206F6" w:rsidRDefault="00F206F6" w:rsidP="00F206F6">
      <w:pPr>
        <w:spacing w:after="0" w:line="360" w:lineRule="auto"/>
        <w:rPr>
          <w:rFonts w:eastAsia="Calibri" w:cstheme="minorHAnsi"/>
          <w:b/>
          <w:bCs/>
          <w:lang w:eastAsia="pl-PL"/>
        </w:rPr>
      </w:pPr>
      <w:r w:rsidRPr="008207E0">
        <w:rPr>
          <w:rFonts w:eastAsia="Calibri" w:cstheme="minorHAnsi"/>
          <w:b/>
          <w:bCs/>
        </w:rPr>
        <w:lastRenderedPageBreak/>
        <w:t>Koszty działalności Wojewódzkiego Biura Rejestracji Nowotworów (WBRN)</w:t>
      </w:r>
      <w:r w:rsidRPr="008207E0">
        <w:rPr>
          <w:rFonts w:eastAsia="Calibri" w:cstheme="minorHAnsi"/>
          <w:b/>
          <w:bCs/>
        </w:rPr>
        <w:br/>
      </w:r>
      <w:r w:rsidRPr="00F80E81">
        <w:rPr>
          <w:rFonts w:eastAsia="Calibri" w:cstheme="minorHAnsi"/>
          <w:b/>
        </w:rPr>
        <w:t>(limit roczny 28 500,00 zł)</w:t>
      </w:r>
    </w:p>
    <w:p w:rsidR="00F206F6" w:rsidRPr="001D7287" w:rsidRDefault="00F206F6" w:rsidP="00F206F6">
      <w:pPr>
        <w:pStyle w:val="Default"/>
      </w:pPr>
    </w:p>
    <w:p w:rsidR="00F206F6" w:rsidRPr="008207E0" w:rsidRDefault="00F206F6" w:rsidP="00F206F6">
      <w:pPr>
        <w:pStyle w:val="CM1"/>
        <w:numPr>
          <w:ilvl w:val="2"/>
          <w:numId w:val="1"/>
        </w:numPr>
        <w:spacing w:line="360" w:lineRule="auto"/>
        <w:ind w:left="426"/>
        <w:jc w:val="both"/>
        <w:rPr>
          <w:rFonts w:asciiTheme="minorHAnsi" w:eastAsia="Calibri" w:hAnsiTheme="minorHAnsi" w:cstheme="minorHAnsi"/>
          <w:sz w:val="22"/>
          <w:szCs w:val="22"/>
        </w:rPr>
      </w:pPr>
      <w:r w:rsidRPr="008207E0">
        <w:rPr>
          <w:rFonts w:asciiTheme="minorHAnsi" w:eastAsia="Calibri" w:hAnsiTheme="minorHAnsi" w:cstheme="minorHAnsi"/>
          <w:sz w:val="22"/>
          <w:szCs w:val="22"/>
        </w:rPr>
        <w:t xml:space="preserve">Instytut z tytułu niniejszej umowy pokrywa koszty działalności WBRN, zgodnie z kosztorysem zawartym załączniku nr 1 na podstawie niniejszej umowy. </w:t>
      </w:r>
    </w:p>
    <w:p w:rsidR="00F206F6" w:rsidRPr="008207E0" w:rsidRDefault="00F206F6" w:rsidP="00F206F6">
      <w:pPr>
        <w:pStyle w:val="CM1"/>
        <w:numPr>
          <w:ilvl w:val="2"/>
          <w:numId w:val="1"/>
        </w:numPr>
        <w:spacing w:line="360" w:lineRule="auto"/>
        <w:ind w:left="426"/>
        <w:jc w:val="both"/>
        <w:rPr>
          <w:rFonts w:asciiTheme="minorHAnsi" w:eastAsia="Calibri" w:hAnsiTheme="minorHAnsi" w:cstheme="minorHAnsi"/>
          <w:sz w:val="22"/>
          <w:szCs w:val="22"/>
        </w:rPr>
      </w:pPr>
      <w:r w:rsidRPr="008207E0">
        <w:rPr>
          <w:rFonts w:asciiTheme="minorHAnsi" w:eastAsia="Calibri" w:hAnsiTheme="minorHAnsi" w:cstheme="minorHAnsi"/>
          <w:sz w:val="22"/>
          <w:szCs w:val="22"/>
        </w:rPr>
        <w:t>W ramach umowy Realizator jest obowiązany wyodrębnić następujące grupy kosztów:</w:t>
      </w:r>
    </w:p>
    <w:p w:rsidR="00F206F6" w:rsidRPr="008207E0" w:rsidRDefault="00F206F6" w:rsidP="00F206F6">
      <w:pPr>
        <w:pStyle w:val="CM1"/>
        <w:numPr>
          <w:ilvl w:val="2"/>
          <w:numId w:val="3"/>
        </w:numPr>
        <w:spacing w:line="360" w:lineRule="auto"/>
        <w:ind w:left="1134" w:hanging="283"/>
        <w:jc w:val="both"/>
        <w:rPr>
          <w:rFonts w:asciiTheme="minorHAnsi" w:eastAsia="Calibri" w:hAnsiTheme="minorHAnsi" w:cstheme="minorHAnsi"/>
          <w:sz w:val="22"/>
          <w:szCs w:val="22"/>
        </w:rPr>
      </w:pPr>
      <w:r w:rsidRPr="008207E0">
        <w:rPr>
          <w:rFonts w:asciiTheme="minorHAnsi" w:eastAsia="Calibri" w:hAnsiTheme="minorHAnsi" w:cstheme="minorHAnsi"/>
          <w:sz w:val="22"/>
          <w:szCs w:val="22"/>
        </w:rPr>
        <w:t>Koszty działalności biura rejestracji</w:t>
      </w:r>
    </w:p>
    <w:p w:rsidR="00F206F6" w:rsidRPr="008207E0" w:rsidRDefault="00F206F6" w:rsidP="00F206F6">
      <w:pPr>
        <w:pStyle w:val="CM1"/>
        <w:numPr>
          <w:ilvl w:val="2"/>
          <w:numId w:val="3"/>
        </w:numPr>
        <w:spacing w:line="360" w:lineRule="auto"/>
        <w:ind w:left="1134" w:hanging="283"/>
        <w:jc w:val="both"/>
        <w:rPr>
          <w:rFonts w:asciiTheme="minorHAnsi" w:eastAsia="Calibri" w:hAnsiTheme="minorHAnsi" w:cstheme="minorHAnsi"/>
          <w:sz w:val="22"/>
          <w:szCs w:val="22"/>
        </w:rPr>
      </w:pPr>
      <w:r w:rsidRPr="008207E0">
        <w:rPr>
          <w:rFonts w:asciiTheme="minorHAnsi" w:eastAsia="Calibri" w:hAnsiTheme="minorHAnsi" w:cstheme="minorHAnsi"/>
          <w:sz w:val="22"/>
          <w:szCs w:val="22"/>
        </w:rPr>
        <w:t>Koszty wynagrodzeń</w:t>
      </w:r>
    </w:p>
    <w:p w:rsidR="00F206F6" w:rsidRPr="008207E0" w:rsidRDefault="00F206F6" w:rsidP="00F206F6">
      <w:pPr>
        <w:pStyle w:val="CM1"/>
        <w:numPr>
          <w:ilvl w:val="2"/>
          <w:numId w:val="3"/>
        </w:numPr>
        <w:spacing w:line="360" w:lineRule="auto"/>
        <w:ind w:left="1134" w:hanging="283"/>
        <w:jc w:val="both"/>
        <w:rPr>
          <w:rFonts w:asciiTheme="minorHAnsi" w:eastAsia="Calibri" w:hAnsiTheme="minorHAnsi" w:cstheme="minorHAnsi"/>
          <w:sz w:val="22"/>
          <w:szCs w:val="22"/>
        </w:rPr>
      </w:pPr>
      <w:r w:rsidRPr="008207E0">
        <w:rPr>
          <w:rFonts w:asciiTheme="minorHAnsi" w:eastAsia="Calibri" w:hAnsiTheme="minorHAnsi" w:cstheme="minorHAnsi"/>
          <w:sz w:val="22"/>
          <w:szCs w:val="22"/>
        </w:rPr>
        <w:t>Koszty zakupu drobnego sprzętu komputerowego</w:t>
      </w:r>
    </w:p>
    <w:p w:rsidR="00F206F6" w:rsidRPr="008207E0" w:rsidRDefault="00F206F6" w:rsidP="00F206F6">
      <w:pPr>
        <w:pStyle w:val="CM1"/>
        <w:numPr>
          <w:ilvl w:val="2"/>
          <w:numId w:val="3"/>
        </w:numPr>
        <w:spacing w:line="360" w:lineRule="auto"/>
        <w:ind w:left="1134" w:hanging="283"/>
        <w:jc w:val="both"/>
        <w:rPr>
          <w:rFonts w:asciiTheme="minorHAnsi" w:eastAsia="Calibri" w:hAnsiTheme="minorHAnsi" w:cstheme="minorHAnsi"/>
          <w:sz w:val="22"/>
          <w:szCs w:val="22"/>
        </w:rPr>
      </w:pPr>
      <w:r w:rsidRPr="008207E0">
        <w:rPr>
          <w:rFonts w:asciiTheme="minorHAnsi" w:eastAsia="Calibri" w:hAnsiTheme="minorHAnsi" w:cstheme="minorHAnsi"/>
          <w:sz w:val="22"/>
          <w:szCs w:val="22"/>
        </w:rPr>
        <w:t>Ryczałtowe koszty obsługi administracyjnej.</w:t>
      </w:r>
    </w:p>
    <w:p w:rsidR="00F206F6" w:rsidRPr="008207E0" w:rsidRDefault="00F206F6" w:rsidP="00F206F6">
      <w:pPr>
        <w:pStyle w:val="CM1"/>
        <w:spacing w:line="360" w:lineRule="auto"/>
        <w:ind w:left="426"/>
        <w:jc w:val="both"/>
        <w:rPr>
          <w:rFonts w:asciiTheme="minorHAnsi" w:eastAsia="Calibri" w:hAnsiTheme="minorHAnsi" w:cstheme="minorHAnsi"/>
          <w:sz w:val="22"/>
          <w:szCs w:val="22"/>
        </w:rPr>
      </w:pPr>
    </w:p>
    <w:p w:rsidR="00F206F6" w:rsidRPr="008207E0" w:rsidRDefault="00F206F6" w:rsidP="00F206F6">
      <w:pPr>
        <w:spacing w:after="0" w:line="360" w:lineRule="auto"/>
        <w:rPr>
          <w:rFonts w:eastAsia="Calibri" w:cstheme="minorHAnsi"/>
          <w:b/>
        </w:rPr>
      </w:pPr>
      <w:r w:rsidRPr="008207E0">
        <w:rPr>
          <w:rFonts w:eastAsia="Calibri" w:cstheme="minorHAnsi"/>
          <w:b/>
        </w:rPr>
        <w:t>Działania do realizacji dla Wojewódzkich Biur Rejestracji Nowotworów:</w:t>
      </w:r>
    </w:p>
    <w:p w:rsidR="00F206F6" w:rsidRPr="008207E0" w:rsidRDefault="00F206F6" w:rsidP="00F206F6">
      <w:pPr>
        <w:spacing w:after="0" w:line="360" w:lineRule="auto"/>
        <w:rPr>
          <w:rFonts w:eastAsia="Calibri" w:cstheme="minorHAnsi"/>
          <w:b/>
        </w:rPr>
      </w:pPr>
      <w:r w:rsidRPr="008207E0">
        <w:rPr>
          <w:rFonts w:eastAsia="Calibri" w:cstheme="minorHAnsi"/>
          <w:b/>
        </w:rPr>
        <w:t xml:space="preserve">1. Koszty działalności biura rejestracji </w:t>
      </w:r>
    </w:p>
    <w:p w:rsidR="00F206F6" w:rsidRPr="008207E0" w:rsidRDefault="00F206F6" w:rsidP="004B1A83">
      <w:pPr>
        <w:spacing w:after="0" w:line="360" w:lineRule="auto"/>
        <w:jc w:val="both"/>
        <w:rPr>
          <w:rFonts w:eastAsia="Calibri" w:cstheme="minorHAnsi"/>
        </w:rPr>
      </w:pPr>
      <w:r w:rsidRPr="008207E0">
        <w:rPr>
          <w:rFonts w:eastAsia="Calibri" w:cstheme="minorHAnsi"/>
        </w:rPr>
        <w:t>Koszty działalności biura rejestracji obejmują: „Weryfikację i opracowywanie danych” oraz „Szkolenia”.</w:t>
      </w:r>
    </w:p>
    <w:p w:rsidR="00F206F6" w:rsidRPr="008207E0" w:rsidRDefault="00F206F6" w:rsidP="00F206F6">
      <w:pPr>
        <w:pStyle w:val="Akapitzlist"/>
        <w:numPr>
          <w:ilvl w:val="0"/>
          <w:numId w:val="5"/>
        </w:numPr>
        <w:spacing w:after="0" w:line="360" w:lineRule="auto"/>
        <w:jc w:val="both"/>
        <w:rPr>
          <w:rFonts w:eastAsia="Calibri" w:cstheme="minorHAnsi"/>
        </w:rPr>
      </w:pPr>
      <w:r w:rsidRPr="008207E0">
        <w:rPr>
          <w:rFonts w:eastAsia="Calibri" w:cstheme="minorHAnsi"/>
          <w:b/>
        </w:rPr>
        <w:t>Weryfikacja i opracowywanie danych</w:t>
      </w:r>
      <w:r w:rsidRPr="008207E0">
        <w:rPr>
          <w:rFonts w:eastAsia="Calibri" w:cstheme="minorHAnsi"/>
        </w:rPr>
        <w:t xml:space="preserve"> - wprowadzanie nowych przypadków zachorowań na nowotwory złośliwe i weryfikacja istniejących w bazie KRN zgłoszeń, obejmujące następujące działania:</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weryfikacja umiejscowienia nowotworu,</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weryfikacja postaci histologicznej,</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weryfikacja stopnia zaawansowania,</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 xml:space="preserve">uzupełnienie </w:t>
      </w:r>
      <w:proofErr w:type="spellStart"/>
      <w:r w:rsidRPr="008207E0">
        <w:rPr>
          <w:rFonts w:eastAsia="Calibri" w:cstheme="minorHAnsi"/>
          <w:i/>
        </w:rPr>
        <w:t>vital</w:t>
      </w:r>
      <w:proofErr w:type="spellEnd"/>
      <w:r w:rsidRPr="008207E0">
        <w:rPr>
          <w:rFonts w:eastAsia="Calibri" w:cstheme="minorHAnsi"/>
          <w:i/>
        </w:rPr>
        <w:t xml:space="preserve"> status</w:t>
      </w:r>
      <w:r w:rsidRPr="008207E0">
        <w:rPr>
          <w:rFonts w:eastAsia="Calibri" w:cstheme="minorHAnsi"/>
        </w:rPr>
        <w:t xml:space="preserve"> przypadków </w:t>
      </w:r>
      <w:proofErr w:type="spellStart"/>
      <w:r w:rsidRPr="008207E0">
        <w:rPr>
          <w:rFonts w:eastAsia="Calibri" w:cstheme="minorHAnsi"/>
        </w:rPr>
        <w:t>zachorowań</w:t>
      </w:r>
      <w:proofErr w:type="spellEnd"/>
      <w:r w:rsidRPr="008207E0">
        <w:rPr>
          <w:rFonts w:eastAsia="Calibri" w:cstheme="minorHAnsi"/>
        </w:rPr>
        <w:t xml:space="preserve"> (konieczne do analizy przeżyć),</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uzupełnienie populacji wg płci, wieku i jednostek administracyjnych (konieczne do naliczania współczynników i wskaźników),</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opracowanie raportów dotyczących epidemiologii nowotworów, w tym rocznego biuletynu zachorowań i zgonów na poziomie wojewódzkim w formie elektronicznej (raporty wojewódzkie). W ramach tego punktu możliwe jest rozlicznie kosztów publikacji danych oraz elektronicznej wersji biuletynu na stronie internetowej rejestru,</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Weryfikacja czy jednostki wywiązują się ze sprawozdawczości w zakresie przekazywania danych do KRN.</w:t>
      </w:r>
    </w:p>
    <w:p w:rsidR="00F206F6" w:rsidRPr="008207E0" w:rsidRDefault="00F206F6" w:rsidP="00F206F6">
      <w:pPr>
        <w:spacing w:after="0" w:line="360" w:lineRule="auto"/>
        <w:jc w:val="both"/>
        <w:rPr>
          <w:rFonts w:eastAsia="Calibri" w:cstheme="minorHAnsi"/>
        </w:rPr>
      </w:pPr>
      <w:r w:rsidRPr="008207E0">
        <w:rPr>
          <w:rFonts w:eastAsia="Calibri" w:cstheme="minorHAnsi"/>
        </w:rPr>
        <w:t xml:space="preserve">Wykaz kosztów kwalifikowanych w ramach tego zadania: koszty uzyskania danych na temat </w:t>
      </w:r>
      <w:proofErr w:type="spellStart"/>
      <w:r w:rsidRPr="008207E0">
        <w:rPr>
          <w:rFonts w:eastAsia="Calibri" w:cstheme="minorHAnsi"/>
        </w:rPr>
        <w:t>rozpoznań</w:t>
      </w:r>
      <w:proofErr w:type="spellEnd"/>
      <w:r w:rsidRPr="008207E0">
        <w:rPr>
          <w:rFonts w:eastAsia="Calibri" w:cstheme="minorHAnsi"/>
        </w:rPr>
        <w:t xml:space="preserve"> nowotworu złośliwego, niezależnie, czy dane te opracowane będą przez pracowników jednostki prowadzącej rejestr, czy będą pochodzić z innych jednostek na terenie danego województwa, kosztów publikacji danych oraz elektronicznej wersji biuletynu na stronie internetowej rejestru.</w:t>
      </w:r>
    </w:p>
    <w:p w:rsidR="00F206F6" w:rsidRPr="008207E0" w:rsidRDefault="00F206F6" w:rsidP="00F206F6">
      <w:pPr>
        <w:spacing w:after="0" w:line="360" w:lineRule="auto"/>
        <w:jc w:val="both"/>
        <w:rPr>
          <w:rFonts w:eastAsia="Calibri" w:cstheme="minorHAnsi"/>
        </w:rPr>
      </w:pPr>
      <w:r w:rsidRPr="008207E0">
        <w:rPr>
          <w:rFonts w:eastAsia="Calibri" w:cstheme="minorHAnsi"/>
        </w:rPr>
        <w:lastRenderedPageBreak/>
        <w:t>Nie dopuszcza się w ramach tego punktu rozliczania kosztów osobowych dla pracowników, których koszty wynagrodzeń rozliczane są w ramach punktu 2.</w:t>
      </w:r>
    </w:p>
    <w:p w:rsidR="00F206F6" w:rsidRPr="00F206F6" w:rsidRDefault="00F206F6" w:rsidP="00F206F6">
      <w:pPr>
        <w:pStyle w:val="Akapitzlist"/>
        <w:numPr>
          <w:ilvl w:val="0"/>
          <w:numId w:val="5"/>
        </w:numPr>
        <w:spacing w:after="0" w:line="360" w:lineRule="auto"/>
        <w:jc w:val="both"/>
        <w:rPr>
          <w:rFonts w:eastAsia="Calibri" w:cstheme="minorHAnsi"/>
          <w:b/>
        </w:rPr>
      </w:pPr>
      <w:r w:rsidRPr="008207E0">
        <w:rPr>
          <w:rFonts w:eastAsia="Calibri" w:cstheme="minorHAnsi"/>
          <w:b/>
        </w:rPr>
        <w:t>Szkolenia</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Obowiązkiem pracowników rejestrów jest prowadzenie kursów szkoleniowych dla lekarzy i pracowników medycznych współpracujących z rejestrami;</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W sprawozdaniach półrocznych i rocznych należy wykazywać liczbę przeszkolonych osób;</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 xml:space="preserve">Pracownicy WBRN w celu zapewnienia wiarygodnych i rzetelnych danych wprowadzanych do rejestru, powinni uczestniczyć w corocznych kursach szkoleniowych dla pracowników wojewódzkich rejestrów – zarówno cyklicznych jak i doraźnych (m.in. wynikających z dodatkowej potrzeby przeszkolenia, w tym szkolenia on-line organizowane przez ENCR); </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W przypadku kursów stacjonarnych organizowanych przez KRN dla pracowników WBRN koszty podróży pracownicy WBRN pokrywają ze środków własnych umów;</w:t>
      </w:r>
    </w:p>
    <w:p w:rsidR="00F206F6" w:rsidRPr="008207E0" w:rsidRDefault="00F206F6" w:rsidP="00F206F6">
      <w:pPr>
        <w:pStyle w:val="Akapitzlist"/>
        <w:numPr>
          <w:ilvl w:val="1"/>
          <w:numId w:val="5"/>
        </w:numPr>
        <w:spacing w:after="0" w:line="360" w:lineRule="auto"/>
        <w:jc w:val="both"/>
        <w:rPr>
          <w:rFonts w:eastAsia="Calibri" w:cstheme="minorHAnsi"/>
        </w:rPr>
      </w:pPr>
      <w:bookmarkStart w:id="1" w:name="_Hlk158811144"/>
      <w:r w:rsidRPr="008207E0">
        <w:rPr>
          <w:rFonts w:eastAsia="Calibri" w:cstheme="minorHAnsi"/>
        </w:rPr>
        <w:t>Kursy szkoleniowe organizowane przez WBRN powinny odbywać się głównie w for</w:t>
      </w:r>
      <w:r w:rsidR="004B1A83">
        <w:rPr>
          <w:rFonts w:eastAsia="Calibri" w:cstheme="minorHAnsi"/>
        </w:rPr>
        <w:t xml:space="preserve">mie zdalnej – </w:t>
      </w:r>
      <w:r w:rsidRPr="008207E0">
        <w:rPr>
          <w:rFonts w:eastAsia="Calibri" w:cstheme="minorHAnsi"/>
        </w:rPr>
        <w:t>w postaci wideokonferencji lub wykładów online. Kursy w formie stacjonarnej mogą być prowadzone na życzenie szkolonego podmiotu, jednak wyłącznie do kwoty środków, którymi dysponuje WBRN na szkolenia i po każdorazowym uzyskaniu zgody KRN. W przypadku przeprowadzania szkoleń online możliwe jest rozlicznie abonamentu za narzędzia do telekonferencji;</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W przypadku chęci organizacji kursów stacjonarnych konieczny jest uzasadniony wniosek skierowany do sekretariatu KRN (</w:t>
      </w:r>
      <w:hyperlink r:id="rId6" w:history="1">
        <w:r w:rsidRPr="008207E0">
          <w:rPr>
            <w:rFonts w:cstheme="minorHAnsi"/>
          </w:rPr>
          <w:t>canepid@nio.gov.pl</w:t>
        </w:r>
      </w:hyperlink>
      <w:r w:rsidRPr="008207E0">
        <w:rPr>
          <w:rFonts w:eastAsia="Calibri" w:cstheme="minorHAnsi"/>
        </w:rPr>
        <w:t>);</w:t>
      </w:r>
    </w:p>
    <w:p w:rsidR="00F206F6" w:rsidRPr="008207E0" w:rsidRDefault="00F206F6" w:rsidP="00F206F6">
      <w:pPr>
        <w:pStyle w:val="Akapitzlist"/>
        <w:numPr>
          <w:ilvl w:val="1"/>
          <w:numId w:val="5"/>
        </w:numPr>
        <w:spacing w:after="0" w:line="360" w:lineRule="auto"/>
        <w:jc w:val="both"/>
        <w:rPr>
          <w:rFonts w:eastAsia="Calibri" w:cstheme="minorHAnsi"/>
        </w:rPr>
      </w:pPr>
      <w:r w:rsidRPr="008207E0">
        <w:rPr>
          <w:rFonts w:eastAsia="Calibri" w:cstheme="minorHAnsi"/>
        </w:rPr>
        <w:t xml:space="preserve">Umowa dotacji na prowadzenie WBRN nie przewiduje rozliczania opłat za uczestnictwo w kursach i konferencjach zagranicznych. </w:t>
      </w:r>
    </w:p>
    <w:p w:rsidR="00F206F6" w:rsidRPr="008207E0" w:rsidRDefault="00F206F6" w:rsidP="00F206F6">
      <w:pPr>
        <w:spacing w:after="0" w:line="360" w:lineRule="auto"/>
        <w:jc w:val="both"/>
        <w:rPr>
          <w:rFonts w:eastAsia="Calibri" w:cstheme="minorHAnsi"/>
        </w:rPr>
      </w:pPr>
      <w:r w:rsidRPr="008207E0">
        <w:rPr>
          <w:rFonts w:eastAsia="Calibri" w:cstheme="minorHAnsi"/>
        </w:rPr>
        <w:t>Limity kosztowe kursu stacjonarnego:</w:t>
      </w:r>
    </w:p>
    <w:p w:rsidR="00F206F6" w:rsidRPr="008207E0" w:rsidRDefault="00F206F6" w:rsidP="00F206F6">
      <w:pPr>
        <w:pStyle w:val="Akapitzlist"/>
        <w:numPr>
          <w:ilvl w:val="0"/>
          <w:numId w:val="7"/>
        </w:numPr>
        <w:spacing w:after="0" w:line="360" w:lineRule="auto"/>
        <w:jc w:val="both"/>
        <w:rPr>
          <w:rFonts w:eastAsia="Calibri" w:cstheme="minorHAnsi"/>
        </w:rPr>
      </w:pPr>
      <w:r w:rsidRPr="008207E0">
        <w:rPr>
          <w:rFonts w:eastAsia="Calibri" w:cstheme="minorHAnsi"/>
          <w:b/>
          <w:bCs/>
        </w:rPr>
        <w:t>koszt cateringu/usługi gastronomicznej</w:t>
      </w:r>
      <w:r w:rsidRPr="008207E0">
        <w:rPr>
          <w:rFonts w:eastAsia="Calibri" w:cstheme="minorHAnsi"/>
        </w:rPr>
        <w:t xml:space="preserve"> nie może przekroczyć 90 zł za dzień/na osobę (co stanowi dwukrotność wysokości diety przewidzianej w §7 Rozporządzenia Minist</w:t>
      </w:r>
      <w:r w:rsidR="004B1A83">
        <w:rPr>
          <w:rFonts w:eastAsia="Calibri" w:cstheme="minorHAnsi"/>
        </w:rPr>
        <w:t xml:space="preserve">ra Pracy i Polityki Społecznej </w:t>
      </w:r>
      <w:r w:rsidRPr="008207E0">
        <w:rPr>
          <w:rFonts w:eastAsia="Calibri" w:cstheme="minorHAnsi"/>
        </w:rPr>
        <w:t>z dnia 29 stycznia 2013 r. w sprawie należności przysługując</w:t>
      </w:r>
      <w:r w:rsidR="004B1A83">
        <w:rPr>
          <w:rFonts w:eastAsia="Calibri" w:cstheme="minorHAnsi"/>
        </w:rPr>
        <w:t xml:space="preserve">ych pracownikowi zatrudnionemu </w:t>
      </w:r>
      <w:r w:rsidRPr="008207E0">
        <w:rPr>
          <w:rFonts w:eastAsia="Calibri" w:cstheme="minorHAnsi"/>
        </w:rPr>
        <w:t>w państwowej lub samorządowej jednostce sfery budżetowej z tytułu podróży służbowej. (Dz. U. poz. 167)</w:t>
      </w:r>
    </w:p>
    <w:p w:rsidR="00F206F6" w:rsidRPr="008207E0" w:rsidRDefault="00F206F6" w:rsidP="00F206F6">
      <w:pPr>
        <w:pStyle w:val="Akapitzlist"/>
        <w:numPr>
          <w:ilvl w:val="0"/>
          <w:numId w:val="7"/>
        </w:numPr>
        <w:spacing w:after="0" w:line="360" w:lineRule="auto"/>
        <w:jc w:val="both"/>
        <w:rPr>
          <w:rFonts w:eastAsia="Calibri" w:cstheme="minorHAnsi"/>
        </w:rPr>
      </w:pPr>
      <w:r w:rsidRPr="008207E0">
        <w:rPr>
          <w:rFonts w:eastAsia="Calibri" w:cstheme="minorHAnsi"/>
          <w:b/>
          <w:bCs/>
        </w:rPr>
        <w:t xml:space="preserve">koszt noclegu </w:t>
      </w:r>
      <w:r w:rsidRPr="008207E0">
        <w:rPr>
          <w:rFonts w:eastAsia="Calibri" w:cstheme="minorHAnsi"/>
        </w:rPr>
        <w:t>nie może przek</w:t>
      </w:r>
      <w:r w:rsidR="004B1A83">
        <w:rPr>
          <w:rFonts w:eastAsia="Calibri" w:cstheme="minorHAnsi"/>
        </w:rPr>
        <w:t>roczyć 300 zł za dzień/za osobę</w:t>
      </w:r>
      <w:r w:rsidRPr="008207E0">
        <w:rPr>
          <w:rFonts w:eastAsia="Calibri" w:cstheme="minorHAnsi"/>
        </w:rPr>
        <w:t xml:space="preserve"> </w:t>
      </w:r>
    </w:p>
    <w:p w:rsidR="00F206F6" w:rsidRPr="008207E0" w:rsidRDefault="00F206F6" w:rsidP="00F206F6">
      <w:pPr>
        <w:pStyle w:val="Akapitzlist"/>
        <w:numPr>
          <w:ilvl w:val="0"/>
          <w:numId w:val="7"/>
        </w:numPr>
        <w:spacing w:after="0" w:line="360" w:lineRule="auto"/>
        <w:jc w:val="both"/>
        <w:rPr>
          <w:rFonts w:eastAsia="Calibri" w:cstheme="minorHAnsi"/>
        </w:rPr>
      </w:pPr>
      <w:r w:rsidRPr="008207E0">
        <w:rPr>
          <w:rFonts w:eastAsia="Calibri" w:cstheme="minorHAnsi"/>
          <w:b/>
          <w:bCs/>
        </w:rPr>
        <w:t>koszt wynajmu sali</w:t>
      </w:r>
      <w:r w:rsidRPr="008207E0">
        <w:rPr>
          <w:rFonts w:eastAsia="Calibri" w:cstheme="minorHAnsi"/>
        </w:rPr>
        <w:t xml:space="preserve"> nie może przekroczyć 3 500 zł za dzień. W przypadku wykorzystania sali wykładowej będącej w posiadaniu Instytutu koszty wynajmu sali nie są naliczane</w:t>
      </w:r>
    </w:p>
    <w:p w:rsidR="00F206F6" w:rsidRPr="008207E0" w:rsidRDefault="00F206F6" w:rsidP="00F206F6">
      <w:pPr>
        <w:pStyle w:val="Akapitzlist"/>
        <w:numPr>
          <w:ilvl w:val="0"/>
          <w:numId w:val="7"/>
        </w:numPr>
        <w:spacing w:after="0" w:line="360" w:lineRule="auto"/>
        <w:jc w:val="both"/>
        <w:rPr>
          <w:rFonts w:eastAsia="Calibri" w:cstheme="minorHAnsi"/>
        </w:rPr>
      </w:pPr>
      <w:r w:rsidRPr="008207E0">
        <w:rPr>
          <w:rFonts w:eastAsia="Calibri" w:cstheme="minorHAnsi"/>
        </w:rPr>
        <w:t>dopuszczalny zakup i dystrybucja materiałów konferencyjnych wykorzystywanych podczas szkoleń, tj. długopisów, notatników, papierowych teczek konferencyjnych, papieru xero.</w:t>
      </w:r>
    </w:p>
    <w:p w:rsidR="00F206F6" w:rsidRPr="008207E0" w:rsidRDefault="00F206F6" w:rsidP="00F206F6">
      <w:pPr>
        <w:spacing w:after="0" w:line="360" w:lineRule="auto"/>
        <w:jc w:val="both"/>
        <w:rPr>
          <w:rFonts w:eastAsia="Calibri" w:cstheme="minorHAnsi"/>
        </w:rPr>
      </w:pPr>
      <w:r w:rsidRPr="008207E0">
        <w:rPr>
          <w:rFonts w:eastAsia="Calibri" w:cstheme="minorHAnsi"/>
        </w:rPr>
        <w:lastRenderedPageBreak/>
        <w:t>UWAGA: w tym punkcie nie rozliczamy materiałów biurowych na potrzeby bieżącej pracy WBRN.</w:t>
      </w:r>
    </w:p>
    <w:p w:rsidR="00F206F6" w:rsidRPr="008207E0" w:rsidRDefault="00F206F6" w:rsidP="00F206F6">
      <w:pPr>
        <w:pStyle w:val="Akapitzlist"/>
        <w:spacing w:after="0" w:line="360" w:lineRule="auto"/>
        <w:ind w:left="425"/>
        <w:contextualSpacing w:val="0"/>
        <w:jc w:val="both"/>
        <w:rPr>
          <w:rFonts w:eastAsia="Calibri" w:cstheme="minorHAnsi"/>
        </w:rPr>
      </w:pPr>
    </w:p>
    <w:p w:rsidR="00F206F6" w:rsidRPr="008207E0" w:rsidRDefault="00F206F6" w:rsidP="00F206F6">
      <w:pPr>
        <w:pStyle w:val="Akapitzlist"/>
        <w:numPr>
          <w:ilvl w:val="0"/>
          <w:numId w:val="2"/>
        </w:numPr>
        <w:spacing w:after="0" w:line="360" w:lineRule="auto"/>
        <w:jc w:val="both"/>
        <w:rPr>
          <w:rFonts w:eastAsia="Calibri" w:cstheme="minorHAnsi"/>
        </w:rPr>
      </w:pPr>
      <w:r w:rsidRPr="008207E0">
        <w:rPr>
          <w:rFonts w:eastAsia="Calibri" w:cstheme="minorHAnsi"/>
          <w:b/>
          <w:bCs/>
        </w:rPr>
        <w:t>koszty wykładów</w:t>
      </w:r>
      <w:r w:rsidRPr="008207E0">
        <w:rPr>
          <w:rFonts w:eastAsia="Calibri" w:cstheme="minorHAnsi"/>
        </w:rPr>
        <w:t xml:space="preserve"> </w:t>
      </w:r>
      <w:r w:rsidRPr="008207E0">
        <w:rPr>
          <w:rFonts w:eastAsia="Calibri" w:cstheme="minorHAnsi"/>
          <w:b/>
          <w:bCs/>
        </w:rPr>
        <w:t xml:space="preserve">w ramach szkoleń </w:t>
      </w:r>
      <w:r w:rsidRPr="008207E0">
        <w:rPr>
          <w:rFonts w:eastAsia="Calibri" w:cstheme="minorHAnsi"/>
        </w:rPr>
        <w:t xml:space="preserve">- w ramach umowy z Instytutem dopuszczana jest tylko </w:t>
      </w:r>
      <w:r w:rsidRPr="008207E0">
        <w:rPr>
          <w:rFonts w:eastAsia="Calibri" w:cstheme="minorHAnsi"/>
        </w:rPr>
        <w:br/>
        <w:t>i wyłącznie w przypadku wykładowców zewnętrznych.</w:t>
      </w:r>
    </w:p>
    <w:p w:rsidR="00F206F6" w:rsidRPr="008207E0" w:rsidRDefault="00F206F6" w:rsidP="00F206F6">
      <w:pPr>
        <w:pStyle w:val="Akapitzlist"/>
        <w:numPr>
          <w:ilvl w:val="0"/>
          <w:numId w:val="2"/>
        </w:numPr>
        <w:spacing w:after="0" w:line="360" w:lineRule="auto"/>
        <w:jc w:val="both"/>
        <w:rPr>
          <w:rFonts w:eastAsia="Calibri" w:cstheme="minorHAnsi"/>
        </w:rPr>
      </w:pPr>
      <w:r w:rsidRPr="008207E0">
        <w:rPr>
          <w:rFonts w:eastAsia="Calibri" w:cstheme="minorHAnsi"/>
        </w:rPr>
        <w:t>koszty</w:t>
      </w:r>
      <w:r w:rsidRPr="008207E0">
        <w:rPr>
          <w:rFonts w:cstheme="minorHAnsi"/>
        </w:rPr>
        <w:t xml:space="preserve"> wynagrodzenia wykładowców</w:t>
      </w:r>
      <w:r w:rsidRPr="008207E0">
        <w:rPr>
          <w:rFonts w:eastAsia="Calibri" w:cstheme="minorHAnsi"/>
          <w:b/>
          <w:bCs/>
        </w:rPr>
        <w:t xml:space="preserve"> </w:t>
      </w:r>
      <w:r w:rsidRPr="008207E0">
        <w:rPr>
          <w:rFonts w:eastAsia="Calibri" w:cstheme="minorHAnsi"/>
        </w:rPr>
        <w:t xml:space="preserve">– max. 500 zł dla osoby posiadającej co najmniej stopień naukowy doktora oraz max. 300 zł dla pozostałych osób. </w:t>
      </w:r>
    </w:p>
    <w:p w:rsidR="00F206F6" w:rsidRPr="008207E0" w:rsidRDefault="00F206F6" w:rsidP="00F206F6">
      <w:pPr>
        <w:pStyle w:val="Akapitzlist"/>
        <w:numPr>
          <w:ilvl w:val="0"/>
          <w:numId w:val="2"/>
        </w:numPr>
        <w:spacing w:after="0" w:line="360" w:lineRule="auto"/>
        <w:jc w:val="both"/>
        <w:rPr>
          <w:rFonts w:eastAsia="Calibri" w:cstheme="minorHAnsi"/>
        </w:rPr>
      </w:pPr>
      <w:r w:rsidRPr="008207E0">
        <w:rPr>
          <w:rFonts w:eastAsia="Calibri" w:cstheme="minorHAnsi"/>
        </w:rPr>
        <w:t xml:space="preserve">1 godzina wykładowa to nie mniej niż 45 minut. </w:t>
      </w:r>
    </w:p>
    <w:p w:rsidR="00F206F6" w:rsidRPr="008207E0" w:rsidRDefault="00F206F6" w:rsidP="00F206F6">
      <w:pPr>
        <w:pStyle w:val="Akapitzlist"/>
        <w:numPr>
          <w:ilvl w:val="0"/>
          <w:numId w:val="2"/>
        </w:numPr>
        <w:spacing w:after="0" w:line="360" w:lineRule="auto"/>
        <w:jc w:val="both"/>
        <w:rPr>
          <w:rFonts w:eastAsia="Calibri" w:cstheme="minorHAnsi"/>
        </w:rPr>
      </w:pPr>
      <w:r w:rsidRPr="008207E0">
        <w:rPr>
          <w:rFonts w:eastAsia="Calibri" w:cstheme="minorHAnsi"/>
        </w:rPr>
        <w:t>za wygłoszenie wykładu-szkolenia online przysługuje wynagrodzenie, tak jak w przypadku szkolenia stacjonarnego.</w:t>
      </w:r>
    </w:p>
    <w:p w:rsidR="00F206F6" w:rsidRPr="008207E0" w:rsidRDefault="00F206F6" w:rsidP="00F206F6">
      <w:pPr>
        <w:pStyle w:val="Akapitzlist"/>
        <w:numPr>
          <w:ilvl w:val="0"/>
          <w:numId w:val="2"/>
        </w:numPr>
        <w:spacing w:after="0" w:line="360" w:lineRule="auto"/>
        <w:jc w:val="both"/>
        <w:rPr>
          <w:rFonts w:eastAsia="Calibri" w:cstheme="minorHAnsi"/>
        </w:rPr>
      </w:pPr>
      <w:r w:rsidRPr="008207E0">
        <w:rPr>
          <w:rFonts w:eastAsia="Calibri" w:cstheme="minorHAnsi"/>
        </w:rPr>
        <w:t xml:space="preserve">rozliczane z tego punktu mogą być również: </w:t>
      </w:r>
      <w:r w:rsidRPr="008207E0">
        <w:rPr>
          <w:rFonts w:eastAsia="Calibri" w:cstheme="minorHAnsi"/>
          <w:b/>
          <w:bCs/>
        </w:rPr>
        <w:t>koszty zakupu książek i podręczników</w:t>
      </w:r>
      <w:r w:rsidRPr="008207E0">
        <w:rPr>
          <w:rFonts w:eastAsia="Calibri" w:cstheme="minorHAnsi"/>
        </w:rPr>
        <w:t xml:space="preserve"> (w formie papierowej oraz elektronicznej) niezbędne do bieżącej pracy pracowników biur rejestracji. </w:t>
      </w:r>
      <w:bookmarkEnd w:id="1"/>
    </w:p>
    <w:p w:rsidR="00F206F6" w:rsidRPr="008207E0" w:rsidRDefault="00F206F6" w:rsidP="00F206F6">
      <w:pPr>
        <w:spacing w:after="0" w:line="360" w:lineRule="auto"/>
        <w:jc w:val="both"/>
        <w:rPr>
          <w:rFonts w:eastAsia="Calibri" w:cstheme="minorHAnsi"/>
        </w:rPr>
      </w:pPr>
    </w:p>
    <w:p w:rsidR="00F206F6" w:rsidRPr="008207E0" w:rsidRDefault="00F206F6" w:rsidP="00F206F6">
      <w:pPr>
        <w:pStyle w:val="Akapitzlist"/>
        <w:numPr>
          <w:ilvl w:val="0"/>
          <w:numId w:val="3"/>
        </w:numPr>
        <w:spacing w:after="0" w:line="360" w:lineRule="auto"/>
        <w:rPr>
          <w:rFonts w:eastAsia="Calibri" w:cstheme="minorHAnsi"/>
          <w:b/>
        </w:rPr>
      </w:pPr>
      <w:bookmarkStart w:id="2" w:name="_Hlk158734303"/>
      <w:bookmarkStart w:id="3" w:name="_Hlk158733193"/>
      <w:bookmarkStart w:id="4" w:name="_Hlk156246178"/>
      <w:r w:rsidRPr="008207E0">
        <w:rPr>
          <w:rFonts w:eastAsia="Calibri" w:cstheme="minorHAnsi"/>
          <w:b/>
        </w:rPr>
        <w:t xml:space="preserve">Koszty wynagrodzeń pracowników </w:t>
      </w:r>
      <w:r w:rsidRPr="00F80E81">
        <w:rPr>
          <w:rFonts w:eastAsia="Calibri" w:cstheme="minorHAnsi"/>
          <w:b/>
        </w:rPr>
        <w:t xml:space="preserve">(limit roczny </w:t>
      </w:r>
      <w:r>
        <w:rPr>
          <w:rFonts w:eastAsia="Calibri" w:cstheme="minorHAnsi"/>
          <w:b/>
        </w:rPr>
        <w:t>zgodnie z załącznikiem 1</w:t>
      </w:r>
      <w:r w:rsidRPr="00F80E81">
        <w:rPr>
          <w:rFonts w:eastAsia="Calibri" w:cstheme="minorHAnsi"/>
          <w:b/>
        </w:rPr>
        <w:t>)</w:t>
      </w:r>
    </w:p>
    <w:bookmarkEnd w:id="2"/>
    <w:p w:rsidR="00F206F6" w:rsidRPr="008207E0" w:rsidRDefault="00F206F6" w:rsidP="004B1A83">
      <w:pPr>
        <w:spacing w:after="0" w:line="360" w:lineRule="auto"/>
        <w:jc w:val="both"/>
        <w:rPr>
          <w:rFonts w:eastAsia="Calibri" w:cstheme="minorHAnsi"/>
        </w:rPr>
      </w:pPr>
      <w:r w:rsidRPr="008207E0">
        <w:rPr>
          <w:rFonts w:eastAsia="Calibri" w:cstheme="minorHAnsi"/>
        </w:rPr>
        <w:t xml:space="preserve">W ramach tej grupy kosztów rozliczane są </w:t>
      </w:r>
      <w:r>
        <w:rPr>
          <w:rFonts w:eastAsia="Calibri" w:cstheme="minorHAnsi"/>
        </w:rPr>
        <w:t>równoważniki etatu</w:t>
      </w:r>
      <w:r w:rsidRPr="008207E0">
        <w:rPr>
          <w:rFonts w:eastAsia="Calibri" w:cstheme="minorHAnsi"/>
        </w:rPr>
        <w:t xml:space="preserve"> pokrywające koszty wynagrodzenia pracowników WBRN.</w:t>
      </w:r>
    </w:p>
    <w:p w:rsidR="00F206F6" w:rsidRPr="008207E0" w:rsidRDefault="00F206F6" w:rsidP="004B1A83">
      <w:pPr>
        <w:spacing w:after="0" w:line="360" w:lineRule="auto"/>
        <w:jc w:val="both"/>
        <w:rPr>
          <w:rFonts w:cstheme="minorHAnsi"/>
        </w:rPr>
      </w:pPr>
      <w:r w:rsidRPr="008207E0">
        <w:rPr>
          <w:rFonts w:cstheme="minorHAnsi"/>
        </w:rPr>
        <w:t xml:space="preserve">Za politykę kadrowo-płacową odpowiada Realizator, w którego kompetencji jest określenie rodzaju stanowisk oraz liczby i wymiaru </w:t>
      </w:r>
      <w:r>
        <w:rPr>
          <w:rFonts w:cstheme="minorHAnsi"/>
        </w:rPr>
        <w:t xml:space="preserve">równoważników </w:t>
      </w:r>
      <w:r w:rsidRPr="008207E0">
        <w:rPr>
          <w:rFonts w:cstheme="minorHAnsi"/>
        </w:rPr>
        <w:t xml:space="preserve">etatów, a także wysokość wynagrodzeń na poszczególnych etatach. </w:t>
      </w:r>
    </w:p>
    <w:p w:rsidR="00F206F6" w:rsidRPr="008207E0" w:rsidRDefault="00F206F6" w:rsidP="004B1A83">
      <w:pPr>
        <w:spacing w:after="0" w:line="360" w:lineRule="auto"/>
        <w:jc w:val="both"/>
        <w:rPr>
          <w:rFonts w:eastAsia="Calibri" w:cstheme="minorHAnsi"/>
          <w:bCs/>
          <w:color w:val="000000" w:themeColor="text1"/>
          <w:kern w:val="1"/>
          <w:lang w:eastAsia="pl-PL"/>
        </w:rPr>
      </w:pPr>
      <w:r w:rsidRPr="008207E0">
        <w:rPr>
          <w:rFonts w:eastAsia="Calibri" w:cstheme="minorHAnsi"/>
          <w:bCs/>
          <w:color w:val="000000" w:themeColor="text1"/>
          <w:kern w:val="1"/>
          <w:lang w:eastAsia="pl-PL"/>
        </w:rPr>
        <w:t>Realizator  może dokonywać rozliczenia przekazanych mu na podstawie niniejszej umowy środków finansowych pochodzących z dotacji w części przyznanej na  wynagrodzenia wyłącznie tych pracowników Realizatora, którzy faktycznie wprowadzają dane do bazy KRN.</w:t>
      </w:r>
    </w:p>
    <w:p w:rsidR="00F206F6" w:rsidRPr="008207E0" w:rsidRDefault="00F206F6" w:rsidP="004B1A83">
      <w:pPr>
        <w:spacing w:after="0" w:line="360" w:lineRule="auto"/>
        <w:jc w:val="both"/>
        <w:rPr>
          <w:rFonts w:eastAsia="Calibri" w:cstheme="minorHAnsi"/>
        </w:rPr>
      </w:pPr>
      <w:r w:rsidRPr="008207E0">
        <w:rPr>
          <w:rFonts w:eastAsia="Calibri" w:cstheme="minorHAnsi"/>
        </w:rPr>
        <w:t>Zatrudnienie w WBRN odbywa się na podstawie umowy o pracę lub umowy cywilnoprawnej. Pod pojęciem pracownika rejestru rozumie się każdą osobę, której wynagrodzenie finansowane jest w ramach kosztów określonych w zał. 1 pkt 2.</w:t>
      </w:r>
    </w:p>
    <w:p w:rsidR="00F206F6" w:rsidRPr="001D7287" w:rsidRDefault="00F206F6" w:rsidP="004B1A83">
      <w:pPr>
        <w:spacing w:after="0" w:line="360" w:lineRule="auto"/>
        <w:jc w:val="both"/>
        <w:rPr>
          <w:rFonts w:eastAsia="Calibri" w:cstheme="minorHAnsi"/>
          <w:kern w:val="1"/>
          <w:lang w:eastAsia="pl-PL"/>
        </w:rPr>
      </w:pPr>
      <w:r w:rsidRPr="001D7287">
        <w:rPr>
          <w:rFonts w:eastAsia="Calibri" w:cstheme="minorHAnsi"/>
          <w:kern w:val="1"/>
          <w:lang w:eastAsia="pl-PL"/>
        </w:rPr>
        <w:t>Za pracownika, który faktycznie wprowadza dane do bazy KRN uznawana będzie osoba, która  wprowadziła do systemu co najmniej 35% średniej  liczby zachorowań, wyliczonej wg poniższego wzoru:</w:t>
      </w:r>
    </w:p>
    <w:p w:rsidR="00F206F6" w:rsidRPr="004B1A83" w:rsidRDefault="00F206F6" w:rsidP="004B1A83">
      <w:pPr>
        <w:pStyle w:val="Akapitzlist"/>
        <w:spacing w:after="0" w:line="360" w:lineRule="auto"/>
        <w:ind w:left="360"/>
        <w:jc w:val="center"/>
        <w:rPr>
          <w:rFonts w:eastAsia="Calibri" w:cstheme="minorHAnsi"/>
          <w:kern w:val="1"/>
          <w:lang w:eastAsia="pl-PL"/>
        </w:rPr>
      </w:pPr>
      <m:oMathPara>
        <m:oMath>
          <m:r>
            <w:rPr>
              <w:rFonts w:ascii="Cambria Math" w:eastAsia="Calibri" w:hAnsi="Cambria Math" w:cstheme="minorHAnsi"/>
              <w:kern w:val="1"/>
              <w:lang w:eastAsia="pl-PL"/>
            </w:rPr>
            <m:t>z=</m:t>
          </m:r>
          <m:d>
            <m:dPr>
              <m:ctrlPr>
                <w:rPr>
                  <w:rFonts w:ascii="Cambria Math" w:eastAsia="Calibri" w:hAnsi="Cambria Math" w:cstheme="minorHAnsi"/>
                  <w:bCs/>
                  <w:i/>
                  <w:kern w:val="1"/>
                  <w:lang w:eastAsia="pl-PL"/>
                </w:rPr>
              </m:ctrlPr>
            </m:dPr>
            <m:e>
              <m:r>
                <w:rPr>
                  <w:rFonts w:ascii="Cambria Math" w:eastAsia="Calibri" w:hAnsi="Cambria Math" w:cstheme="minorHAnsi"/>
                  <w:kern w:val="1"/>
                  <w:lang w:eastAsia="pl-PL"/>
                </w:rPr>
                <m:t>x:y</m:t>
              </m:r>
            </m:e>
          </m:d>
          <m:r>
            <w:rPr>
              <w:rFonts w:ascii="Cambria Math" w:eastAsia="Calibri" w:hAnsi="Cambria Math" w:cstheme="minorHAnsi"/>
              <w:kern w:val="1"/>
              <w:lang w:eastAsia="pl-PL"/>
            </w:rPr>
            <m:t>*35%</m:t>
          </m:r>
        </m:oMath>
      </m:oMathPara>
    </w:p>
    <w:p w:rsidR="004B1A83" w:rsidRPr="004B1A83" w:rsidRDefault="004B1A83" w:rsidP="004B1A83">
      <w:pPr>
        <w:pStyle w:val="Akapitzlist"/>
        <w:spacing w:after="0" w:line="360" w:lineRule="auto"/>
        <w:ind w:left="360"/>
        <w:jc w:val="center"/>
        <w:rPr>
          <w:rFonts w:eastAsia="Calibri" w:cstheme="minorHAnsi"/>
          <w:kern w:val="1"/>
          <w:sz w:val="12"/>
          <w:szCs w:val="12"/>
          <w:lang w:eastAsia="pl-PL"/>
        </w:rPr>
      </w:pPr>
    </w:p>
    <w:p w:rsidR="00F206F6" w:rsidRPr="001D7287" w:rsidRDefault="00F206F6" w:rsidP="00F206F6">
      <w:pPr>
        <w:pStyle w:val="Akapitzlist"/>
        <w:spacing w:after="0" w:line="360" w:lineRule="auto"/>
        <w:ind w:left="360"/>
        <w:rPr>
          <w:rFonts w:eastAsia="Calibri" w:cstheme="minorHAnsi"/>
          <w:kern w:val="1"/>
          <w:lang w:eastAsia="pl-PL"/>
        </w:rPr>
      </w:pPr>
      <w:r w:rsidRPr="001D7287">
        <w:rPr>
          <w:rFonts w:eastAsia="Calibri" w:cstheme="minorHAnsi"/>
          <w:kern w:val="1"/>
          <w:lang w:eastAsia="pl-PL"/>
        </w:rPr>
        <w:t>gdzie:</w:t>
      </w:r>
    </w:p>
    <w:p w:rsidR="00F206F6" w:rsidRPr="001D7287" w:rsidRDefault="00F206F6" w:rsidP="00F206F6">
      <w:pPr>
        <w:pStyle w:val="Akapitzlist"/>
        <w:spacing w:after="0" w:line="360" w:lineRule="auto"/>
        <w:ind w:left="360"/>
        <w:rPr>
          <w:rFonts w:eastAsia="Calibri" w:cstheme="minorHAnsi"/>
          <w:kern w:val="1"/>
          <w:lang w:eastAsia="pl-PL"/>
        </w:rPr>
      </w:pPr>
      <w:r w:rsidRPr="001D7287">
        <w:rPr>
          <w:rFonts w:eastAsia="Calibri" w:cstheme="minorHAnsi"/>
          <w:kern w:val="1"/>
          <w:lang w:eastAsia="pl-PL"/>
        </w:rPr>
        <w:t>z – oznacza liczbę wprowadzonych zachorowań w roku poprzedzającym rok sprawozdawczy</w:t>
      </w:r>
    </w:p>
    <w:p w:rsidR="00F206F6" w:rsidRPr="001D7287" w:rsidRDefault="00F206F6" w:rsidP="00F206F6">
      <w:pPr>
        <w:pStyle w:val="Akapitzlist"/>
        <w:spacing w:after="0" w:line="360" w:lineRule="auto"/>
        <w:ind w:left="360"/>
        <w:rPr>
          <w:rFonts w:eastAsia="Calibri" w:cstheme="minorHAnsi"/>
          <w:kern w:val="1"/>
          <w:lang w:eastAsia="pl-PL"/>
        </w:rPr>
      </w:pPr>
      <w:r w:rsidRPr="001D7287">
        <w:rPr>
          <w:rFonts w:eastAsia="Calibri" w:cstheme="minorHAnsi"/>
          <w:kern w:val="1"/>
          <w:lang w:eastAsia="pl-PL"/>
        </w:rPr>
        <w:t>x – oznacza liczbę zachorowań w roku poprzednim</w:t>
      </w:r>
    </w:p>
    <w:p w:rsidR="00F206F6" w:rsidRPr="001D7287" w:rsidRDefault="00F206F6" w:rsidP="00F206F6">
      <w:pPr>
        <w:pStyle w:val="Akapitzlist"/>
        <w:spacing w:after="0" w:line="360" w:lineRule="auto"/>
        <w:ind w:left="360"/>
        <w:rPr>
          <w:rFonts w:eastAsia="Calibri" w:cstheme="minorHAnsi"/>
          <w:kern w:val="1"/>
          <w:lang w:eastAsia="pl-PL"/>
        </w:rPr>
      </w:pPr>
      <w:r w:rsidRPr="001D7287">
        <w:rPr>
          <w:rFonts w:eastAsia="Calibri" w:cstheme="minorHAnsi"/>
          <w:kern w:val="1"/>
          <w:lang w:eastAsia="pl-PL"/>
        </w:rPr>
        <w:t xml:space="preserve">y - oznaczę liczbę pełnych etatów, które będą finansowane i rozliczane w ramach Umowy. </w:t>
      </w:r>
    </w:p>
    <w:p w:rsidR="00F206F6" w:rsidRPr="001D7287" w:rsidRDefault="00F206F6" w:rsidP="00F206F6">
      <w:pPr>
        <w:pStyle w:val="Akapitzlist"/>
        <w:spacing w:after="0" w:line="360" w:lineRule="auto"/>
        <w:ind w:left="360"/>
        <w:rPr>
          <w:rFonts w:eastAsia="Calibri" w:cstheme="minorHAnsi"/>
          <w:kern w:val="1"/>
          <w:lang w:eastAsia="pl-PL"/>
        </w:rPr>
      </w:pPr>
    </w:p>
    <w:p w:rsidR="00F206F6" w:rsidRDefault="00F206F6" w:rsidP="00F206F6">
      <w:pPr>
        <w:spacing w:after="0" w:line="360" w:lineRule="auto"/>
        <w:jc w:val="both"/>
        <w:rPr>
          <w:rFonts w:eastAsia="Calibri" w:cstheme="minorHAnsi"/>
          <w:kern w:val="1"/>
          <w:lang w:eastAsia="pl-PL"/>
        </w:rPr>
      </w:pPr>
      <w:r w:rsidRPr="001D7287">
        <w:rPr>
          <w:rFonts w:eastAsia="Calibri" w:cstheme="minorHAnsi"/>
          <w:kern w:val="1"/>
          <w:lang w:eastAsia="pl-PL"/>
        </w:rPr>
        <w:t>Wartość „z” przelicza się proporcjonalnie do etatu  i okresu pracy danego pracownika.</w:t>
      </w:r>
    </w:p>
    <w:p w:rsidR="00F206F6" w:rsidRPr="008207E0" w:rsidRDefault="00F206F6" w:rsidP="00F206F6">
      <w:pPr>
        <w:spacing w:after="0" w:line="360" w:lineRule="auto"/>
        <w:jc w:val="both"/>
        <w:rPr>
          <w:rFonts w:eastAsia="Calibri" w:cstheme="minorHAnsi"/>
          <w:b/>
        </w:rPr>
      </w:pPr>
      <w:r w:rsidRPr="008207E0">
        <w:rPr>
          <w:rFonts w:eastAsia="Calibri" w:cstheme="minorHAnsi"/>
          <w:b/>
        </w:rPr>
        <w:lastRenderedPageBreak/>
        <w:t xml:space="preserve">Pracownicy WBRN </w:t>
      </w:r>
    </w:p>
    <w:p w:rsidR="00F206F6" w:rsidRPr="008207E0" w:rsidRDefault="00F206F6" w:rsidP="00F206F6">
      <w:pPr>
        <w:spacing w:after="0" w:line="360" w:lineRule="auto"/>
        <w:jc w:val="both"/>
        <w:rPr>
          <w:rFonts w:eastAsia="Calibri" w:cstheme="minorHAnsi"/>
        </w:rPr>
      </w:pPr>
      <w:bookmarkStart w:id="5" w:name="_Hlk158805100"/>
      <w:r w:rsidRPr="008207E0">
        <w:rPr>
          <w:rFonts w:eastAsia="Calibri" w:cstheme="minorHAnsi"/>
        </w:rPr>
        <w:t>Zasady dotyczące wynagradzania:</w:t>
      </w:r>
    </w:p>
    <w:p w:rsidR="00F206F6" w:rsidRPr="008207E0" w:rsidRDefault="00F206F6" w:rsidP="00F206F6">
      <w:pPr>
        <w:pStyle w:val="Akapitzlist"/>
        <w:numPr>
          <w:ilvl w:val="0"/>
          <w:numId w:val="8"/>
        </w:numPr>
        <w:spacing w:after="0" w:line="360" w:lineRule="auto"/>
        <w:jc w:val="both"/>
        <w:rPr>
          <w:rFonts w:eastAsia="Calibri" w:cstheme="minorHAnsi"/>
        </w:rPr>
      </w:pPr>
      <w:r w:rsidRPr="008207E0">
        <w:rPr>
          <w:rFonts w:eastAsia="Calibri" w:cstheme="minorHAnsi"/>
        </w:rPr>
        <w:t>Realizator zobowiązuje się do zatrudnienia w wojewódzkim biurze rejestracji nowotworów osób posiadających wiedzę i kompetencje niezbędne do właściwej realizacji umowy. Do zadań pracowników biura należy prowadzenie i obsługa wszystkich działań powierzonych Realizatorowi w niniejszej umowie;</w:t>
      </w:r>
    </w:p>
    <w:p w:rsidR="00F206F6" w:rsidRPr="008207E0" w:rsidRDefault="00F206F6" w:rsidP="00F206F6">
      <w:pPr>
        <w:pStyle w:val="Akapitzlist"/>
        <w:numPr>
          <w:ilvl w:val="0"/>
          <w:numId w:val="8"/>
        </w:numPr>
        <w:spacing w:after="0" w:line="360" w:lineRule="auto"/>
        <w:jc w:val="both"/>
        <w:rPr>
          <w:rFonts w:eastAsia="Calibri" w:cstheme="minorHAnsi"/>
        </w:rPr>
      </w:pPr>
      <w:r w:rsidRPr="008207E0">
        <w:rPr>
          <w:rFonts w:eastAsia="Calibri" w:cstheme="minorHAnsi"/>
        </w:rPr>
        <w:t>W przypadku, gdy pracownik jest zatrudniony na część etatu jego wynagrodzenie powinno być proporcjonalnie niższe;</w:t>
      </w:r>
    </w:p>
    <w:p w:rsidR="00F206F6" w:rsidRPr="008207E0" w:rsidRDefault="00F206F6" w:rsidP="00F206F6">
      <w:pPr>
        <w:pStyle w:val="Akapitzlist"/>
        <w:numPr>
          <w:ilvl w:val="0"/>
          <w:numId w:val="8"/>
        </w:numPr>
        <w:spacing w:after="0" w:line="360" w:lineRule="auto"/>
        <w:jc w:val="both"/>
        <w:rPr>
          <w:rFonts w:eastAsia="Calibri" w:cstheme="minorHAnsi"/>
        </w:rPr>
      </w:pPr>
      <w:r w:rsidRPr="008207E0">
        <w:rPr>
          <w:rFonts w:eastAsia="Calibri" w:cstheme="minorHAnsi"/>
        </w:rPr>
        <w:t xml:space="preserve">W ramach niniejszej umowy nie dopuszcza się wypłacania nagród i premii ze środków przeznaczonych na realizację zadań objętych niniejszą umową; </w:t>
      </w:r>
    </w:p>
    <w:p w:rsidR="00F206F6" w:rsidRPr="008207E0" w:rsidRDefault="00F206F6" w:rsidP="00F206F6">
      <w:pPr>
        <w:pStyle w:val="Akapitzlist"/>
        <w:numPr>
          <w:ilvl w:val="0"/>
          <w:numId w:val="8"/>
        </w:numPr>
        <w:spacing w:after="0" w:line="360" w:lineRule="auto"/>
        <w:jc w:val="both"/>
        <w:rPr>
          <w:rFonts w:eastAsia="Calibri" w:cstheme="minorHAnsi"/>
        </w:rPr>
      </w:pPr>
      <w:r w:rsidRPr="008207E0">
        <w:rPr>
          <w:rFonts w:eastAsia="Calibri" w:cstheme="minorHAnsi"/>
        </w:rPr>
        <w:t xml:space="preserve">W sytuacji, gdy pracownik przebywa na zwolnieniu lekarskim, jego wynagrodzenie </w:t>
      </w:r>
      <w:r w:rsidRPr="008207E0">
        <w:rPr>
          <w:rFonts w:eastAsia="Calibri" w:cstheme="minorHAnsi"/>
        </w:rPr>
        <w:br/>
        <w:t xml:space="preserve">z tytułu niniejszej umowy nie przechodzi na pracownika zastępującego. Nie wyklucza to możliwości zatrudnienia innej osoby. Za organizację pracy w WBRN odpowiada </w:t>
      </w:r>
      <w:bookmarkEnd w:id="5"/>
      <w:r w:rsidRPr="008207E0">
        <w:rPr>
          <w:rFonts w:eastAsia="Calibri" w:cstheme="minorHAnsi"/>
        </w:rPr>
        <w:t>Realizator.</w:t>
      </w:r>
      <w:bookmarkEnd w:id="3"/>
      <w:bookmarkEnd w:id="4"/>
    </w:p>
    <w:p w:rsidR="00F206F6" w:rsidRPr="008207E0" w:rsidRDefault="00F206F6" w:rsidP="00F206F6">
      <w:pPr>
        <w:pStyle w:val="Akapitzlist"/>
        <w:spacing w:after="0" w:line="360" w:lineRule="auto"/>
        <w:ind w:left="0"/>
        <w:rPr>
          <w:rFonts w:eastAsia="Calibri" w:cstheme="minorHAnsi"/>
          <w:b/>
          <w:bCs/>
        </w:rPr>
      </w:pPr>
      <w:bookmarkStart w:id="6" w:name="_Hlk158735111"/>
    </w:p>
    <w:p w:rsidR="00F206F6" w:rsidRPr="00D27E8D" w:rsidRDefault="00F206F6" w:rsidP="00F206F6">
      <w:pPr>
        <w:pStyle w:val="Akapitzlist"/>
        <w:numPr>
          <w:ilvl w:val="0"/>
          <w:numId w:val="3"/>
        </w:numPr>
        <w:spacing w:after="0" w:line="360" w:lineRule="auto"/>
        <w:rPr>
          <w:rFonts w:eastAsia="Calibri" w:cstheme="minorHAnsi"/>
          <w:b/>
        </w:rPr>
      </w:pPr>
      <w:r w:rsidRPr="008207E0">
        <w:rPr>
          <w:rFonts w:eastAsia="Calibri" w:cstheme="minorHAnsi"/>
          <w:b/>
        </w:rPr>
        <w:t xml:space="preserve">Koszty zakup drobnego sprzętu komputerowego </w:t>
      </w:r>
      <w:r w:rsidRPr="00D27E8D">
        <w:rPr>
          <w:rFonts w:eastAsia="Calibri" w:cstheme="minorHAnsi"/>
          <w:b/>
        </w:rPr>
        <w:t>(limit roczny 6000,00 zł)</w:t>
      </w:r>
    </w:p>
    <w:p w:rsidR="00F206F6" w:rsidRPr="008207E0" w:rsidRDefault="00F206F6" w:rsidP="00F206F6">
      <w:pPr>
        <w:spacing w:after="0" w:line="360" w:lineRule="auto"/>
        <w:rPr>
          <w:rFonts w:eastAsia="Calibri" w:cstheme="minorHAnsi"/>
        </w:rPr>
      </w:pPr>
      <w:bookmarkStart w:id="7" w:name="_Hlk158803203"/>
      <w:bookmarkEnd w:id="6"/>
      <w:r w:rsidRPr="008207E0">
        <w:rPr>
          <w:rFonts w:eastAsia="Calibri" w:cstheme="minorHAnsi"/>
        </w:rPr>
        <w:t xml:space="preserve">Wykaz sprzętu do zakupu w ramach tego zadania: </w:t>
      </w:r>
      <w:r w:rsidRPr="008207E0">
        <w:rPr>
          <w:rFonts w:eastAsia="Calibri" w:cstheme="minorHAnsi"/>
        </w:rPr>
        <w:br/>
        <w:t xml:space="preserve">komputery stacjonarne, laptopy, monitory, drukarki, oprogramowanie komputerowe, </w:t>
      </w:r>
      <w:proofErr w:type="spellStart"/>
      <w:r w:rsidRPr="008207E0">
        <w:rPr>
          <w:rFonts w:eastAsia="Calibri" w:cstheme="minorHAnsi"/>
        </w:rPr>
        <w:t>switche</w:t>
      </w:r>
      <w:proofErr w:type="spellEnd"/>
      <w:r w:rsidRPr="008207E0">
        <w:rPr>
          <w:rFonts w:eastAsia="Calibri" w:cstheme="minorHAnsi"/>
        </w:rPr>
        <w:t xml:space="preserve">, routery, myszki, klawiatury, głośniki, pamięci USB, dyski zewnętrzne, dyski wewnętrzne, kable sieciowe. </w:t>
      </w:r>
    </w:p>
    <w:p w:rsidR="00F206F6" w:rsidRPr="008207E0" w:rsidRDefault="00F206F6" w:rsidP="00F206F6">
      <w:pPr>
        <w:spacing w:after="0" w:line="360" w:lineRule="auto"/>
        <w:rPr>
          <w:rFonts w:eastAsia="Calibri" w:cstheme="minorHAnsi"/>
          <w:u w:val="single"/>
        </w:rPr>
      </w:pPr>
      <w:r w:rsidRPr="008207E0">
        <w:rPr>
          <w:rFonts w:eastAsia="Calibri" w:cstheme="minorHAnsi"/>
          <w:u w:val="single"/>
        </w:rPr>
        <w:t>Zasady zakupu sprzętu:</w:t>
      </w:r>
    </w:p>
    <w:p w:rsidR="00F206F6" w:rsidRPr="008207E0" w:rsidRDefault="00F206F6" w:rsidP="00F206F6">
      <w:pPr>
        <w:pStyle w:val="Akapitzlist"/>
        <w:numPr>
          <w:ilvl w:val="0"/>
          <w:numId w:val="9"/>
        </w:numPr>
        <w:spacing w:after="0" w:line="360" w:lineRule="auto"/>
        <w:jc w:val="both"/>
        <w:rPr>
          <w:rFonts w:eastAsia="Calibri" w:cstheme="minorHAnsi"/>
        </w:rPr>
      </w:pPr>
      <w:r w:rsidRPr="008207E0">
        <w:rPr>
          <w:rFonts w:eastAsia="Calibri" w:cstheme="minorHAnsi"/>
        </w:rPr>
        <w:t>Zakup sprzętu komputerowego wymienionego w wykazie nie wymaga zgody Instytutu.</w:t>
      </w:r>
    </w:p>
    <w:p w:rsidR="00F206F6" w:rsidRPr="008207E0" w:rsidRDefault="00F206F6" w:rsidP="00F206F6">
      <w:pPr>
        <w:pStyle w:val="Akapitzlist"/>
        <w:numPr>
          <w:ilvl w:val="0"/>
          <w:numId w:val="9"/>
        </w:numPr>
        <w:spacing w:after="0" w:line="360" w:lineRule="auto"/>
        <w:jc w:val="both"/>
        <w:rPr>
          <w:rFonts w:eastAsia="Calibri" w:cstheme="minorHAnsi"/>
        </w:rPr>
      </w:pPr>
      <w:r w:rsidRPr="008207E0">
        <w:rPr>
          <w:rFonts w:eastAsia="Calibri" w:cstheme="minorHAnsi"/>
        </w:rPr>
        <w:t xml:space="preserve">Zakup sprzętu komputerowego musi być dokonywany tylko i wyłącznie na potrzeby WBRN. </w:t>
      </w:r>
    </w:p>
    <w:p w:rsidR="00F206F6" w:rsidRPr="008207E0" w:rsidRDefault="00F206F6" w:rsidP="00F206F6">
      <w:pPr>
        <w:pStyle w:val="Akapitzlist"/>
        <w:numPr>
          <w:ilvl w:val="0"/>
          <w:numId w:val="9"/>
        </w:numPr>
        <w:spacing w:after="0" w:line="360" w:lineRule="auto"/>
        <w:jc w:val="both"/>
        <w:rPr>
          <w:rFonts w:eastAsia="Calibri" w:cstheme="minorHAnsi"/>
        </w:rPr>
      </w:pPr>
      <w:r w:rsidRPr="008207E0">
        <w:rPr>
          <w:rFonts w:eastAsia="Calibri" w:cstheme="minorHAnsi"/>
        </w:rPr>
        <w:t>W sprawozdaniu merytorycznym należy podać liczbę i rodzaj zakupionego sprzętu oraz powód jego wymiany/zakupu.</w:t>
      </w:r>
    </w:p>
    <w:p w:rsidR="00F206F6" w:rsidRPr="008207E0" w:rsidRDefault="00F206F6" w:rsidP="00F206F6">
      <w:pPr>
        <w:pStyle w:val="Akapitzlist"/>
        <w:numPr>
          <w:ilvl w:val="0"/>
          <w:numId w:val="9"/>
        </w:numPr>
        <w:spacing w:after="0" w:line="360" w:lineRule="auto"/>
        <w:jc w:val="both"/>
        <w:rPr>
          <w:rFonts w:eastAsia="Calibri" w:cstheme="minorHAnsi"/>
        </w:rPr>
      </w:pPr>
      <w:r w:rsidRPr="008207E0">
        <w:rPr>
          <w:rFonts w:eastAsia="Calibri" w:cstheme="minorHAnsi"/>
        </w:rPr>
        <w:t>Określenie trybu postępowania, na podstawie którego dokonano zakupu w ramach PZP.</w:t>
      </w:r>
    </w:p>
    <w:bookmarkEnd w:id="7"/>
    <w:p w:rsidR="00F206F6" w:rsidRDefault="00F206F6" w:rsidP="00F206F6">
      <w:pPr>
        <w:pStyle w:val="Akapitzlist"/>
        <w:spacing w:after="0" w:line="360" w:lineRule="auto"/>
        <w:ind w:left="426"/>
        <w:jc w:val="both"/>
        <w:rPr>
          <w:rFonts w:eastAsia="Calibri" w:cstheme="minorHAnsi"/>
        </w:rPr>
      </w:pPr>
    </w:p>
    <w:p w:rsidR="00F206F6" w:rsidRDefault="00F206F6" w:rsidP="00F206F6">
      <w:pPr>
        <w:pStyle w:val="Akapitzlist"/>
        <w:spacing w:after="0" w:line="360" w:lineRule="auto"/>
        <w:ind w:left="426"/>
        <w:jc w:val="both"/>
        <w:rPr>
          <w:rFonts w:eastAsia="Calibri" w:cstheme="minorHAnsi"/>
        </w:rPr>
      </w:pPr>
    </w:p>
    <w:p w:rsidR="00F206F6" w:rsidRPr="008207E0" w:rsidRDefault="00F206F6" w:rsidP="00F206F6">
      <w:pPr>
        <w:pStyle w:val="Akapitzlist"/>
        <w:spacing w:after="0" w:line="360" w:lineRule="auto"/>
        <w:ind w:left="426"/>
        <w:jc w:val="both"/>
        <w:rPr>
          <w:rFonts w:eastAsia="Calibri" w:cstheme="minorHAnsi"/>
        </w:rPr>
      </w:pPr>
    </w:p>
    <w:p w:rsidR="00F206F6" w:rsidRPr="008207E0" w:rsidRDefault="00F206F6" w:rsidP="00F206F6">
      <w:pPr>
        <w:pStyle w:val="Akapitzlist"/>
        <w:numPr>
          <w:ilvl w:val="0"/>
          <w:numId w:val="3"/>
        </w:numPr>
        <w:spacing w:after="0" w:line="360" w:lineRule="auto"/>
        <w:ind w:left="426"/>
        <w:rPr>
          <w:rFonts w:eastAsia="Calibri" w:cstheme="minorHAnsi"/>
          <w:b/>
          <w:bCs/>
        </w:rPr>
      </w:pPr>
      <w:r w:rsidRPr="008207E0">
        <w:rPr>
          <w:rFonts w:eastAsia="Calibri" w:cstheme="minorHAnsi"/>
          <w:b/>
          <w:bCs/>
        </w:rPr>
        <w:t xml:space="preserve">Ryczałtowe koszty obsługi administracyjnej </w:t>
      </w:r>
      <w:r w:rsidRPr="00F80E81">
        <w:rPr>
          <w:rFonts w:eastAsia="Calibri" w:cstheme="minorHAnsi"/>
          <w:b/>
        </w:rPr>
        <w:t>(limit roczny 30 000,00 zł)</w:t>
      </w:r>
    </w:p>
    <w:p w:rsidR="00F206F6" w:rsidRPr="008207E0" w:rsidRDefault="00F206F6" w:rsidP="00F206F6">
      <w:pPr>
        <w:pStyle w:val="Akapitzlist"/>
        <w:spacing w:after="0" w:line="360" w:lineRule="auto"/>
        <w:ind w:left="360"/>
        <w:rPr>
          <w:rFonts w:eastAsia="Calibri" w:cstheme="minorHAnsi"/>
          <w:b/>
          <w:bCs/>
        </w:rPr>
      </w:pPr>
      <w:bookmarkStart w:id="8" w:name="_Hlk158802854"/>
    </w:p>
    <w:p w:rsidR="00F206F6" w:rsidRPr="008207E0" w:rsidRDefault="00F206F6" w:rsidP="00F206F6">
      <w:pPr>
        <w:pStyle w:val="Akapitzlist"/>
        <w:numPr>
          <w:ilvl w:val="0"/>
          <w:numId w:val="10"/>
        </w:numPr>
        <w:spacing w:after="0" w:line="360" w:lineRule="auto"/>
        <w:jc w:val="both"/>
        <w:rPr>
          <w:rFonts w:eastAsia="Calibri" w:cstheme="minorHAnsi"/>
        </w:rPr>
      </w:pPr>
      <w:bookmarkStart w:id="9" w:name="_Hlk158802785"/>
      <w:r w:rsidRPr="008207E0">
        <w:rPr>
          <w:rFonts w:eastAsia="Calibri" w:cstheme="minorHAnsi"/>
        </w:rPr>
        <w:t>Ryczałtowe koszty obsługi administracyjnej to koszty niezbędne do zapewnienia sprawnego funkcjonowania WBRN. Ryczałtowe koszty obsługi administracyjnej finansowane są w postaci ryczałtu i nie jest wymagane przedstawianie, w załączeniu do Załącznika nr 4, szczegółowych dokumentów potwierdzających wysokość poniesionych kosztów, w sprawozdaniu merytorycznym (zał. nr 2) należy skrótowo opisać przedmiot wydatków,</w:t>
      </w:r>
    </w:p>
    <w:p w:rsidR="00F206F6" w:rsidRPr="008207E0" w:rsidRDefault="00F206F6" w:rsidP="00F206F6">
      <w:pPr>
        <w:pStyle w:val="Akapitzlist"/>
        <w:numPr>
          <w:ilvl w:val="0"/>
          <w:numId w:val="10"/>
        </w:numPr>
        <w:spacing w:after="0" w:line="360" w:lineRule="auto"/>
        <w:jc w:val="both"/>
        <w:rPr>
          <w:rFonts w:eastAsia="Calibri" w:cstheme="minorHAnsi"/>
        </w:rPr>
      </w:pPr>
      <w:r w:rsidRPr="008207E0">
        <w:rPr>
          <w:rFonts w:eastAsia="Calibri" w:cstheme="minorHAnsi"/>
        </w:rPr>
        <w:lastRenderedPageBreak/>
        <w:t>Koszty możliwe do rozliczenia w ramach tej grupy między innymi: k</w:t>
      </w:r>
      <w:r w:rsidR="004B1A83">
        <w:rPr>
          <w:rFonts w:eastAsia="Calibri" w:cstheme="minorHAnsi"/>
        </w:rPr>
        <w:t xml:space="preserve">oszty administracyjno-księgowe </w:t>
      </w:r>
      <w:r w:rsidRPr="008207E0">
        <w:rPr>
          <w:rFonts w:eastAsia="Calibri" w:cstheme="minorHAnsi"/>
        </w:rPr>
        <w:t xml:space="preserve">(w tym sekretariat), koszty obsługi informatyczno-technicznej zadania, media, dostęp do </w:t>
      </w:r>
      <w:proofErr w:type="spellStart"/>
      <w:r w:rsidRPr="008207E0">
        <w:rPr>
          <w:rFonts w:eastAsia="Calibri" w:cstheme="minorHAnsi"/>
        </w:rPr>
        <w:t>internetu</w:t>
      </w:r>
      <w:proofErr w:type="spellEnd"/>
      <w:r w:rsidRPr="008207E0">
        <w:rPr>
          <w:rFonts w:eastAsia="Calibri" w:cstheme="minorHAnsi"/>
        </w:rPr>
        <w:t>, materiały biurowe i materiały eksploatacyjne do urządzeń biurowych, konieczne zabezpieczenia dotyczące ochrony danych osobowych, usługi sprzątania.</w:t>
      </w:r>
    </w:p>
    <w:p w:rsidR="00F206F6" w:rsidRPr="008207E0" w:rsidRDefault="00F206F6" w:rsidP="00F206F6">
      <w:pPr>
        <w:spacing w:after="0" w:line="360" w:lineRule="auto"/>
        <w:jc w:val="both"/>
        <w:rPr>
          <w:rFonts w:eastAsia="Calibri" w:cstheme="minorHAnsi"/>
        </w:rPr>
      </w:pPr>
      <w:r w:rsidRPr="008207E0">
        <w:rPr>
          <w:rFonts w:eastAsia="Calibri" w:cstheme="minorHAnsi"/>
        </w:rPr>
        <w:t xml:space="preserve">W ramach niniejszej umowy nie dopuszcza się zakupu wyposażenia biura w szczególności mebli biurowych </w:t>
      </w:r>
      <w:bookmarkStart w:id="10" w:name="_GoBack"/>
      <w:bookmarkEnd w:id="10"/>
      <w:r w:rsidRPr="008207E0">
        <w:rPr>
          <w:rFonts w:eastAsia="Calibri" w:cstheme="minorHAnsi"/>
        </w:rPr>
        <w:t>(w tym m.in. stolików, foteli, biurek, lampek).</w:t>
      </w:r>
      <w:bookmarkEnd w:id="8"/>
      <w:bookmarkEnd w:id="9"/>
    </w:p>
    <w:p w:rsidR="00436D9A" w:rsidRDefault="00436D9A" w:rsidP="00F206F6">
      <w:pPr>
        <w:jc w:val="center"/>
      </w:pPr>
    </w:p>
    <w:sectPr w:rsidR="0043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EE"/>
    <w:family w:val="swiss"/>
    <w:pitch w:val="variable"/>
    <w:sig w:usb0="E10002FF" w:usb1="5000ECFF" w:usb2="00000009"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F08"/>
    <w:multiLevelType w:val="hybridMultilevel"/>
    <w:tmpl w:val="60C033B6"/>
    <w:lvl w:ilvl="0" w:tplc="04150019">
      <w:start w:val="1"/>
      <w:numFmt w:val="lowerLetter"/>
      <w:lvlText w:val="%1."/>
      <w:lvlJc w:val="left"/>
      <w:pPr>
        <w:ind w:left="720" w:hanging="360"/>
      </w:pPr>
    </w:lvl>
    <w:lvl w:ilvl="1" w:tplc="D316B2F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AB23114"/>
    <w:multiLevelType w:val="hybridMultilevel"/>
    <w:tmpl w:val="7ED05C94"/>
    <w:lvl w:ilvl="0" w:tplc="03CCF490">
      <w:start w:val="1"/>
      <w:numFmt w:val="upperLetter"/>
      <w:lvlText w:val="%1)"/>
      <w:lvlJc w:val="left"/>
      <w:pPr>
        <w:tabs>
          <w:tab w:val="num" w:pos="360"/>
        </w:tabs>
        <w:ind w:left="360" w:hanging="360"/>
      </w:pPr>
      <w:rPr>
        <w:rFonts w:asciiTheme="minorHAnsi" w:eastAsia="Calibri" w:hAnsiTheme="minorHAnsi" w:cstheme="minorHAnsi" w:hint="default"/>
        <w:b/>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2AD60F51"/>
    <w:multiLevelType w:val="hybridMultilevel"/>
    <w:tmpl w:val="B8B0D18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3232CA"/>
    <w:multiLevelType w:val="hybridMultilevel"/>
    <w:tmpl w:val="60C033B6"/>
    <w:lvl w:ilvl="0" w:tplc="04150019">
      <w:start w:val="1"/>
      <w:numFmt w:val="lowerLetter"/>
      <w:lvlText w:val="%1."/>
      <w:lvlJc w:val="left"/>
      <w:pPr>
        <w:ind w:left="720" w:hanging="360"/>
      </w:pPr>
    </w:lvl>
    <w:lvl w:ilvl="1" w:tplc="D316B2F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08522EB"/>
    <w:multiLevelType w:val="hybridMultilevel"/>
    <w:tmpl w:val="31BA05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BF72019"/>
    <w:multiLevelType w:val="hybridMultilevel"/>
    <w:tmpl w:val="D9C84886"/>
    <w:lvl w:ilvl="0" w:tplc="20A00A40">
      <w:start w:val="1"/>
      <w:numFmt w:val="decimal"/>
      <w:lvlText w:val="%1."/>
      <w:lvlJc w:val="left"/>
      <w:pPr>
        <w:ind w:left="360" w:hanging="360"/>
      </w:pPr>
      <w:rPr>
        <w:rFonts w:cs="Times New Roman" w:hint="default"/>
        <w:color w:val="auto"/>
      </w:rPr>
    </w:lvl>
    <w:lvl w:ilvl="1" w:tplc="AF98F2D8">
      <w:start w:val="1"/>
      <w:numFmt w:val="decimal"/>
      <w:lvlText w:val="%2)"/>
      <w:lvlJc w:val="left"/>
      <w:pPr>
        <w:ind w:left="360" w:hanging="360"/>
      </w:pPr>
      <w:rPr>
        <w:rFonts w:asciiTheme="minorHAnsi" w:hAnsiTheme="minorHAnsi" w:cstheme="minorHAnsi" w:hint="default"/>
      </w:rPr>
    </w:lvl>
    <w:lvl w:ilvl="2" w:tplc="0415000F">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59667710"/>
    <w:multiLevelType w:val="hybridMultilevel"/>
    <w:tmpl w:val="EC54D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56813FD"/>
    <w:multiLevelType w:val="hybridMultilevel"/>
    <w:tmpl w:val="A11E7ABA"/>
    <w:lvl w:ilvl="0" w:tplc="20A00A40">
      <w:start w:val="1"/>
      <w:numFmt w:val="decimal"/>
      <w:lvlText w:val="%1."/>
      <w:lvlJc w:val="left"/>
      <w:pPr>
        <w:ind w:left="360" w:hanging="360"/>
      </w:pPr>
      <w:rPr>
        <w:rFonts w:cs="Times New Roman" w:hint="default"/>
        <w:color w:val="auto"/>
      </w:rPr>
    </w:lvl>
    <w:lvl w:ilvl="1" w:tplc="51F6CED6">
      <w:start w:val="1"/>
      <w:numFmt w:val="decimal"/>
      <w:lvlText w:val="%2)"/>
      <w:lvlJc w:val="left"/>
      <w:pPr>
        <w:ind w:left="360" w:hanging="360"/>
      </w:pPr>
      <w:rPr>
        <w:rFonts w:ascii="Lato" w:hAnsi="Lato" w:hint="default"/>
      </w:rPr>
    </w:lvl>
    <w:lvl w:ilvl="2" w:tplc="5E3C986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49664C6"/>
    <w:multiLevelType w:val="hybridMultilevel"/>
    <w:tmpl w:val="90F6C4F6"/>
    <w:lvl w:ilvl="0" w:tplc="04150017">
      <w:start w:val="1"/>
      <w:numFmt w:val="lowerLetter"/>
      <w:lvlText w:val="%1)"/>
      <w:lvlJc w:val="left"/>
      <w:pPr>
        <w:ind w:left="360" w:hanging="360"/>
      </w:pPr>
    </w:lvl>
    <w:lvl w:ilvl="1" w:tplc="04150011">
      <w:start w:val="1"/>
      <w:numFmt w:val="decimal"/>
      <w:lvlText w:val="%2)"/>
      <w:lvlJc w:val="left"/>
      <w:pPr>
        <w:ind w:left="1080" w:hanging="360"/>
      </w:pPr>
    </w:lvl>
    <w:lvl w:ilvl="2" w:tplc="3B442F78">
      <w:start w:val="1"/>
      <w:numFmt w:val="lowerLetter"/>
      <w:lvlText w:val="%3)"/>
      <w:lvlJc w:val="left"/>
      <w:pPr>
        <w:ind w:left="1980" w:hanging="360"/>
      </w:pPr>
      <w:rPr>
        <w:rFonts w:hint="default"/>
        <w:b w:val="0"/>
        <w:bCs w:val="0"/>
      </w:rPr>
    </w:lvl>
    <w:lvl w:ilvl="3" w:tplc="2E8E43F4">
      <w:start w:val="1"/>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65850C9"/>
    <w:multiLevelType w:val="hybridMultilevel"/>
    <w:tmpl w:val="01EE77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CD1EA6"/>
    <w:multiLevelType w:val="hybridMultilevel"/>
    <w:tmpl w:val="60C033B6"/>
    <w:lvl w:ilvl="0" w:tplc="04150019">
      <w:start w:val="1"/>
      <w:numFmt w:val="lowerLetter"/>
      <w:lvlText w:val="%1."/>
      <w:lvlJc w:val="left"/>
      <w:pPr>
        <w:ind w:left="720" w:hanging="360"/>
      </w:pPr>
    </w:lvl>
    <w:lvl w:ilvl="1" w:tplc="D316B2F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1"/>
  </w:num>
  <w:num w:numId="6">
    <w:abstractNumId w:val="8"/>
  </w:num>
  <w:num w:numId="7">
    <w:abstractNumId w:val="6"/>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D1"/>
    <w:rsid w:val="00332C47"/>
    <w:rsid w:val="00436D9A"/>
    <w:rsid w:val="004B1A83"/>
    <w:rsid w:val="007453DF"/>
    <w:rsid w:val="009777D1"/>
    <w:rsid w:val="00F20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3D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1">
    <w:name w:val="CM1"/>
    <w:basedOn w:val="Normalny"/>
    <w:next w:val="Normalny"/>
    <w:uiPriority w:val="99"/>
    <w:rsid w:val="007453DF"/>
    <w:pPr>
      <w:widowControl w:val="0"/>
      <w:autoSpaceDE w:val="0"/>
      <w:autoSpaceDN w:val="0"/>
      <w:adjustRightInd w:val="0"/>
      <w:spacing w:after="0" w:line="293" w:lineRule="atLeast"/>
    </w:pPr>
    <w:rPr>
      <w:rFonts w:ascii="Calibri,Bold" w:eastAsiaTheme="minorEastAsia" w:hAnsi="Calibri,Bold"/>
      <w:sz w:val="24"/>
      <w:szCs w:val="24"/>
      <w:lang w:eastAsia="pl-PL"/>
    </w:rPr>
  </w:style>
  <w:style w:type="paragraph" w:styleId="Akapitzlist">
    <w:name w:val="List Paragraph"/>
    <w:aliases w:val="L1,Numerowanie,List Paragraph,Akapit z listą4,CW_Lista,Podsis rysunku,Akapit z listą numerowaną,sw tekst,T_SZ_List Paragraph,Akapit z listą5,BulletC,Wyliczanie,Obiekt,normalny tekst,Akapit z listą31,Bullets,List Paragraph1,Wypunktowanie"/>
    <w:basedOn w:val="Normalny"/>
    <w:link w:val="AkapitzlistZnak"/>
    <w:uiPriority w:val="34"/>
    <w:qFormat/>
    <w:rsid w:val="007453DF"/>
    <w:pPr>
      <w:ind w:left="720"/>
      <w:contextualSpacing/>
    </w:pPr>
  </w:style>
  <w:style w:type="character" w:customStyle="1" w:styleId="AkapitzlistZnak">
    <w:name w:val="Akapit z listą Znak"/>
    <w:aliases w:val="L1 Znak,Numerowanie Znak,List Paragraph Znak,Akapit z listą4 Znak,CW_Lista Znak,Podsis rysunku Znak,Akapit z listą numerowaną Znak,sw tekst Znak,T_SZ_List Paragraph Znak,Akapit z listą5 Znak,BulletC Znak,Wyliczanie Znak,Obiekt Znak"/>
    <w:basedOn w:val="Domylnaczcionkaakapitu"/>
    <w:link w:val="Akapitzlist"/>
    <w:uiPriority w:val="34"/>
    <w:qFormat/>
    <w:locked/>
    <w:rsid w:val="007453DF"/>
  </w:style>
  <w:style w:type="table" w:styleId="Tabela-Siatka">
    <w:name w:val="Table Grid"/>
    <w:basedOn w:val="Standardowy"/>
    <w:uiPriority w:val="39"/>
    <w:rsid w:val="007453D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6F6"/>
    <w:pPr>
      <w:widowControl w:val="0"/>
      <w:autoSpaceDE w:val="0"/>
      <w:autoSpaceDN w:val="0"/>
      <w:adjustRightInd w:val="0"/>
      <w:spacing w:after="0" w:line="240" w:lineRule="auto"/>
    </w:pPr>
    <w:rPr>
      <w:rFonts w:ascii="Calibri,Bold" w:eastAsiaTheme="minorEastAsia" w:hAnsi="Calibri,Bold" w:cs="Calibri,Bold"/>
      <w:color w:val="000000"/>
      <w:sz w:val="24"/>
      <w:szCs w:val="24"/>
      <w:lang w:eastAsia="pl-PL"/>
    </w:rPr>
  </w:style>
  <w:style w:type="paragraph" w:styleId="Tekstdymka">
    <w:name w:val="Balloon Text"/>
    <w:basedOn w:val="Normalny"/>
    <w:link w:val="TekstdymkaZnak"/>
    <w:uiPriority w:val="99"/>
    <w:semiHidden/>
    <w:unhideWhenUsed/>
    <w:rsid w:val="00332C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2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3D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1">
    <w:name w:val="CM1"/>
    <w:basedOn w:val="Normalny"/>
    <w:next w:val="Normalny"/>
    <w:uiPriority w:val="99"/>
    <w:rsid w:val="007453DF"/>
    <w:pPr>
      <w:widowControl w:val="0"/>
      <w:autoSpaceDE w:val="0"/>
      <w:autoSpaceDN w:val="0"/>
      <w:adjustRightInd w:val="0"/>
      <w:spacing w:after="0" w:line="293" w:lineRule="atLeast"/>
    </w:pPr>
    <w:rPr>
      <w:rFonts w:ascii="Calibri,Bold" w:eastAsiaTheme="minorEastAsia" w:hAnsi="Calibri,Bold"/>
      <w:sz w:val="24"/>
      <w:szCs w:val="24"/>
      <w:lang w:eastAsia="pl-PL"/>
    </w:rPr>
  </w:style>
  <w:style w:type="paragraph" w:styleId="Akapitzlist">
    <w:name w:val="List Paragraph"/>
    <w:aliases w:val="L1,Numerowanie,List Paragraph,Akapit z listą4,CW_Lista,Podsis rysunku,Akapit z listą numerowaną,sw tekst,T_SZ_List Paragraph,Akapit z listą5,BulletC,Wyliczanie,Obiekt,normalny tekst,Akapit z listą31,Bullets,List Paragraph1,Wypunktowanie"/>
    <w:basedOn w:val="Normalny"/>
    <w:link w:val="AkapitzlistZnak"/>
    <w:uiPriority w:val="34"/>
    <w:qFormat/>
    <w:rsid w:val="007453DF"/>
    <w:pPr>
      <w:ind w:left="720"/>
      <w:contextualSpacing/>
    </w:pPr>
  </w:style>
  <w:style w:type="character" w:customStyle="1" w:styleId="AkapitzlistZnak">
    <w:name w:val="Akapit z listą Znak"/>
    <w:aliases w:val="L1 Znak,Numerowanie Znak,List Paragraph Znak,Akapit z listą4 Znak,CW_Lista Znak,Podsis rysunku Znak,Akapit z listą numerowaną Znak,sw tekst Znak,T_SZ_List Paragraph Znak,Akapit z listą5 Znak,BulletC Znak,Wyliczanie Znak,Obiekt Znak"/>
    <w:basedOn w:val="Domylnaczcionkaakapitu"/>
    <w:link w:val="Akapitzlist"/>
    <w:uiPriority w:val="34"/>
    <w:qFormat/>
    <w:locked/>
    <w:rsid w:val="007453DF"/>
  </w:style>
  <w:style w:type="table" w:styleId="Tabela-Siatka">
    <w:name w:val="Table Grid"/>
    <w:basedOn w:val="Standardowy"/>
    <w:uiPriority w:val="39"/>
    <w:rsid w:val="007453D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6F6"/>
    <w:pPr>
      <w:widowControl w:val="0"/>
      <w:autoSpaceDE w:val="0"/>
      <w:autoSpaceDN w:val="0"/>
      <w:adjustRightInd w:val="0"/>
      <w:spacing w:after="0" w:line="240" w:lineRule="auto"/>
    </w:pPr>
    <w:rPr>
      <w:rFonts w:ascii="Calibri,Bold" w:eastAsiaTheme="minorEastAsia" w:hAnsi="Calibri,Bold" w:cs="Calibri,Bold"/>
      <w:color w:val="000000"/>
      <w:sz w:val="24"/>
      <w:szCs w:val="24"/>
      <w:lang w:eastAsia="pl-PL"/>
    </w:rPr>
  </w:style>
  <w:style w:type="paragraph" w:styleId="Tekstdymka">
    <w:name w:val="Balloon Text"/>
    <w:basedOn w:val="Normalny"/>
    <w:link w:val="TekstdymkaZnak"/>
    <w:uiPriority w:val="99"/>
    <w:semiHidden/>
    <w:unhideWhenUsed/>
    <w:rsid w:val="00332C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2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epid@nio.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2086</Words>
  <Characters>12520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Centrum Onkologii Instytut im. M. Curie-Skłodowskiej</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Sulkowska</dc:creator>
  <cp:keywords/>
  <dc:description/>
  <cp:lastModifiedBy>Barbara Pietraszko</cp:lastModifiedBy>
  <cp:revision>4</cp:revision>
  <dcterms:created xsi:type="dcterms:W3CDTF">2025-04-08T08:24:00Z</dcterms:created>
  <dcterms:modified xsi:type="dcterms:W3CDTF">2025-04-25T06:44:00Z</dcterms:modified>
</cp:coreProperties>
</file>